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300"/>
        <w:jc w:val="center"/>
      </w:pPr>
      <w:r>
        <w:rPr>
          <w:rFonts w:ascii="Aptos Display" w:hAnsi="Aptos Display"/>
          <w:b/>
          <w:color w:val="1F4E79"/>
          <w:sz w:val="40"/>
        </w:rPr>
        <w:t>VAULTMIND</w:t>
      </w:r>
    </w:p>
    <w:p>
      <w:pPr>
        <w:spacing w:before="560"/>
        <w:jc w:val="center"/>
      </w:pPr>
      <w:r>
        <w:rPr>
          <w:rFonts w:ascii="Aptos Display" w:hAnsi="Aptos Display"/>
          <w:b/>
          <w:color w:val="1C232D"/>
          <w:sz w:val="62"/>
        </w:rPr>
        <w:t>Quantum Readiness Assessment</w:t>
      </w:r>
    </w:p>
    <w:p>
      <w:pPr>
        <w:jc w:val="center"/>
      </w:pPr>
      <w:r>
        <w:rPr>
          <w:rFonts w:ascii="Aptos Display" w:hAnsi="Aptos Display"/>
          <w:b/>
          <w:color w:val="1F4E79"/>
          <w:sz w:val="40"/>
        </w:rPr>
        <w:t>Executive Brief</w:t>
      </w:r>
    </w:p>
    <w:p>
      <w:pPr>
        <w:spacing w:before="560"/>
        <w:jc w:val="center"/>
      </w:pPr>
      <w:r>
        <w:rPr>
          <w:rFonts w:ascii="Aptos Display" w:hAnsi="Aptos Display"/>
          <w:i/>
          <w:color w:val="1C232D"/>
          <w:sz w:val="34"/>
        </w:rPr>
        <w:t>What happens the morning after Q-Day?</w:t>
      </w:r>
    </w:p>
    <w:tbl>
      <w:tblPr>
        <w:tblW w:type="auto" w:w="0"/>
        <w:jc w:val="center"/>
        <w:tblLook w:firstColumn="1" w:firstRow="1" w:lastColumn="0" w:lastRow="0" w:noHBand="0" w:noVBand="1" w:val="04A0"/>
      </w:tblPr>
      <w:tblGrid>
        <w:gridCol w:w="9994"/>
      </w:tblGrid>
      <w:tr>
        <w:tc>
          <w:tcPr>
            <w:tcW w:type="dxa" w:w="9994"/>
            <w:shd w:fill="1F4E79"/>
            <w:tcMar>
              <w:top w:w="110" w:type="dxa"/>
              <w:start w:w="140" w:type="dxa"/>
              <w:bottom w:w="110" w:type="dxa"/>
              <w:end w:w="140" w:type="dxa"/>
            </w:tcMar>
          </w:tcPr>
          <w:p>
            <w:pPr>
              <w:jc w:val="center"/>
            </w:pPr>
            <w:r>
              <w:rPr>
                <w:rFonts w:ascii="Aptos" w:hAnsi="Aptos"/>
                <w:b/>
                <w:color w:val="FFFFFF"/>
                <w:sz w:val="24"/>
              </w:rPr>
              <w:t>Executive decision readiness for a sudden loss of confidence in digital trust</w:t>
            </w:r>
          </w:p>
        </w:tc>
      </w:tr>
    </w:tbl>
    <w:p>
      <w:pPr>
        <w:spacing w:before="2200"/>
        <w:jc w:val="center"/>
      </w:pPr>
      <w:r>
        <w:rPr>
          <w:rFonts w:ascii="Aptos Display" w:hAnsi="Aptos Display"/>
          <w:b/>
          <w:color w:val="1F4E79"/>
          <w:sz w:val="26"/>
        </w:rPr>
        <w:t>Control the Moment™</w:t>
      </w:r>
    </w:p>
    <w:p>
      <w:pPr>
        <w:jc w:val="center"/>
      </w:pPr>
      <w:r>
        <w:rPr>
          <w:color w:val="586270"/>
          <w:sz w:val="18"/>
        </w:rPr>
        <w:t>Prepared by VaultMind Technologies  |  July 2026</w:t>
      </w:r>
    </w:p>
    <w:p>
      <w:r>
        <w:br w:type="page"/>
      </w:r>
    </w:p>
    <w:p>
      <w:pPr>
        <w:pStyle w:val="Heading1"/>
      </w:pPr>
      <w:r>
        <w:t>About This Brief</w:t>
      </w:r>
    </w:p>
    <w:p>
      <w:r>
        <w:t>This Executive Brief presents the commercial purpose, structure, delivery model, and expected outcomes of the VaultMind Quantum Readiness Assessment. It is designed for chief executives, boards, general counsel, risk leaders, technology leaders, operational leaders, and organizations responsible for critical services.</w:t>
      </w:r>
    </w:p>
    <w:tbl>
      <w:tblPr>
        <w:tblW w:type="auto" w:w="0"/>
        <w:jc w:val="center"/>
        <w:tblLook w:firstColumn="1" w:firstRow="1" w:lastColumn="0" w:lastRow="0" w:noHBand="0" w:noVBand="1" w:val="04A0"/>
      </w:tblPr>
      <w:tblGrid>
        <w:gridCol w:w="9994"/>
      </w:tblGrid>
      <w:tr>
        <w:tc>
          <w:tcPr>
            <w:tcW w:type="dxa" w:w="9994"/>
            <w:shd w:fill="F4F7FA"/>
            <w:tcMar>
              <w:top w:w="130" w:type="dxa"/>
              <w:start w:w="150" w:type="dxa"/>
              <w:bottom w:w="130" w:type="dxa"/>
              <w:end w:w="150" w:type="dxa"/>
            </w:tcMar>
          </w:tcPr>
          <w:p>
            <w:r>
              <w:rPr>
                <w:b/>
              </w:rPr>
              <w:t xml:space="preserve">This is not a penetration test, technical audit, compliance certification, or prediction of when Q-Day will occur. </w:t>
            </w:r>
            <w:r>
              <w:t>It is an executive decision readiness assessment that uses a credible Q-Day scenario to evaluate how an organization governs consequential decisions when the trust assumptions supporting identity, communications, transactions, software, and third-party relationships may no longer be reliable.</w:t>
            </w:r>
          </w:p>
        </w:tc>
      </w:tr>
    </w:tbl>
    <w:p>
      <w:pPr>
        <w:pStyle w:val="Heading2"/>
      </w:pPr>
      <w:r>
        <w:t>Confidentiality and Reliance</w:t>
      </w:r>
    </w:p>
    <w:p>
      <w:r>
        <w:t>This document is intended for evaluation and planning. Engagement-specific findings are produced only after a client assessment. No statement in this brief constitutes legal, regulatory, financial, insurance, or technical assurance.</w:t>
      </w:r>
    </w:p>
    <w:p>
      <w:pPr>
        <w:pStyle w:val="Heading1"/>
      </w:pPr>
      <w:r>
        <w:t>Contents</w:t>
      </w:r>
    </w:p>
    <w:p>
      <w:pPr>
        <w:spacing w:after="40"/>
        <w:ind w:left="288"/>
      </w:pPr>
      <w:r>
        <w:t>1. Executive Overview</w:t>
      </w:r>
    </w:p>
    <w:p>
      <w:pPr>
        <w:spacing w:after="40"/>
        <w:ind w:left="288"/>
      </w:pPr>
      <w:r>
        <w:t>2. The Morning After Q-Day</w:t>
      </w:r>
    </w:p>
    <w:p>
      <w:pPr>
        <w:spacing w:after="40"/>
        <w:ind w:left="288"/>
      </w:pPr>
      <w:r>
        <w:t>3. Why the Risk Is an Executive Problem</w:t>
      </w:r>
    </w:p>
    <w:p>
      <w:pPr>
        <w:spacing w:after="40"/>
        <w:ind w:left="288"/>
      </w:pPr>
      <w:r>
        <w:t>4. The Readiness Gap</w:t>
      </w:r>
    </w:p>
    <w:p>
      <w:pPr>
        <w:spacing w:after="40"/>
        <w:ind w:left="288"/>
      </w:pPr>
      <w:r>
        <w:t>5. What the Assessment Evaluates</w:t>
      </w:r>
    </w:p>
    <w:p>
      <w:pPr>
        <w:spacing w:after="40"/>
        <w:ind w:left="288"/>
      </w:pPr>
      <w:r>
        <w:t>6. How the Engagement Works</w:t>
      </w:r>
    </w:p>
    <w:p>
      <w:pPr>
        <w:spacing w:after="40"/>
        <w:ind w:left="288"/>
      </w:pPr>
      <w:r>
        <w:t>7. The Executive Experience</w:t>
      </w:r>
    </w:p>
    <w:p>
      <w:pPr>
        <w:spacing w:after="40"/>
        <w:ind w:left="288"/>
      </w:pPr>
      <w:r>
        <w:t>8. Evidence, Reconstruction, and Defensibility</w:t>
      </w:r>
    </w:p>
    <w:p>
      <w:pPr>
        <w:spacing w:after="40"/>
        <w:ind w:left="288"/>
      </w:pPr>
      <w:r>
        <w:t>9. Customer Deliverables</w:t>
      </w:r>
    </w:p>
    <w:p>
      <w:pPr>
        <w:spacing w:after="40"/>
        <w:ind w:left="288"/>
      </w:pPr>
      <w:r>
        <w:t>10. Business Value</w:t>
      </w:r>
    </w:p>
    <w:p>
      <w:pPr>
        <w:spacing w:after="40"/>
        <w:ind w:left="288"/>
      </w:pPr>
      <w:r>
        <w:t>11. Intended Organizations and Participants</w:t>
      </w:r>
    </w:p>
    <w:p>
      <w:pPr>
        <w:spacing w:after="40"/>
        <w:ind w:left="288"/>
      </w:pPr>
      <w:r>
        <w:t>12. Engagement Scope and Boundaries</w:t>
      </w:r>
    </w:p>
    <w:p>
      <w:pPr>
        <w:spacing w:after="40"/>
        <w:ind w:left="288"/>
      </w:pPr>
      <w:r>
        <w:t>13. Delivery Model</w:t>
      </w:r>
    </w:p>
    <w:p>
      <w:pPr>
        <w:spacing w:after="40"/>
        <w:ind w:left="288"/>
      </w:pPr>
      <w:r>
        <w:t>14. Frequently Asked Questions</w:t>
      </w:r>
    </w:p>
    <w:p>
      <w:pPr>
        <w:spacing w:after="40"/>
        <w:ind w:left="288"/>
      </w:pPr>
      <w:r>
        <w:t>15. Next Steps</w:t>
      </w:r>
    </w:p>
    <w:p>
      <w:r>
        <w:br w:type="page"/>
      </w:r>
    </w:p>
    <w:p>
      <w:pPr>
        <w:pStyle w:val="Heading1"/>
      </w:pPr>
      <w:r>
        <w:t>1. Executive Overview</w:t>
      </w:r>
    </w:p>
    <w:p>
      <w:r>
        <w:t>A credible Q-Day event would not begin with a clean technical diagnosis. It would begin with uncertainty. News reports would move faster than official confirmation. Vendors would issue inconsistent guidance. Customers would demand assurances. Employees would ask whether they should continue normal work. Boards, regulators, insurers, and business partners would expect answers before leadership possessed complete evidence.</w:t>
      </w:r>
    </w:p>
    <w:p>
      <w:r>
        <w:t>At that moment, the most important decisions would not be made by cryptographers. They would be made by executive leadership. Leadership would have to determine what to trust, which services should continue, what communications can be supported, how authority should be exercised, and what evidence must be preserved.</w:t>
      </w:r>
    </w:p>
    <w:tbl>
      <w:tblPr>
        <w:tblW w:type="auto" w:w="0"/>
        <w:jc w:val="center"/>
        <w:tblLook w:firstColumn="1" w:firstRow="1" w:lastColumn="0" w:lastRow="0" w:noHBand="0" w:noVBand="1" w:val="04A0"/>
      </w:tblPr>
      <w:tblGrid>
        <w:gridCol w:w="9994"/>
      </w:tblGrid>
      <w:tr>
        <w:tc>
          <w:tcPr>
            <w:tcW w:type="dxa" w:w="9994"/>
            <w:shd w:fill="D9EAF7"/>
            <w:tcMar>
              <w:top w:w="140" w:type="dxa"/>
              <w:start w:w="160" w:type="dxa"/>
              <w:bottom w:w="140" w:type="dxa"/>
              <w:end w:w="160" w:type="dxa"/>
            </w:tcMar>
          </w:tcPr>
          <w:p>
            <w:pPr>
              <w:pStyle w:val="ExecutiveCallout"/>
              <w:jc w:val="center"/>
            </w:pPr>
            <w:r>
              <w:t>The central question is not whether an organization can explain quantum computing. It is whether leadership can continue making trusted, governed, and defensible decisions when digital trust becomes uncertain.</w:t>
            </w:r>
          </w:p>
        </w:tc>
      </w:tr>
    </w:tbl>
    <w:p>
      <w:r>
        <w:t>The VaultMind Quantum Readiness Assessment is a one-day, facilitated executive engagement designed to make those capabilities visible. It does not ask participants to solve a technical puzzle. It places leadership inside a realistic, time-compressed decision environment and observes how the organization governs consequences.</w:t>
      </w:r>
    </w:p>
    <w:p>
      <w:pPr>
        <w:pStyle w:val="Heading2"/>
      </w:pPr>
      <w:r>
        <w:t>The assessment produces five outcomes</w:t>
      </w:r>
    </w:p>
    <w:p>
      <w:pPr>
        <w:pStyle w:val="ListBullet"/>
      </w:pPr>
      <w:r>
        <w:t>A documented reconstruction of the organization's most consequential decisions.</w:t>
      </w:r>
    </w:p>
    <w:p>
      <w:pPr>
        <w:pStyle w:val="ListBullet"/>
      </w:pPr>
      <w:r>
        <w:t>Evidence-supported findings focused on organizational capability rather than individual performance.</w:t>
      </w:r>
    </w:p>
    <w:p>
      <w:pPr>
        <w:pStyle w:val="ListBullet"/>
      </w:pPr>
      <w:r>
        <w:t>A clear view of authority, evidence, communications, continuity, and stakeholder trust.</w:t>
      </w:r>
    </w:p>
    <w:p>
      <w:pPr>
        <w:pStyle w:val="ListBullet"/>
      </w:pPr>
      <w:r>
        <w:t>A board-ready account of strengths, gaps, and business exposure.</w:t>
      </w:r>
    </w:p>
    <w:p>
      <w:pPr>
        <w:pStyle w:val="ListBullet"/>
      </w:pPr>
      <w:r>
        <w:t>A prioritized improvement plan with owners, target dates, and validation measures.</w:t>
      </w:r>
    </w:p>
    <w:p>
      <w:pPr>
        <w:pStyle w:val="Heading1"/>
      </w:pPr>
      <w:r>
        <w:t>2. The Morning After Q-Day</w:t>
      </w:r>
    </w:p>
    <w:p>
      <w:r>
        <w:t>Q-Day is commonly described as the point at which a quantum computing capability can practically undermine cryptographic protections that organizations currently depend upon. The precise date, scope, and first affected implementation cannot be known in advance. The executive challenge is therefore not prediction. It is readiness for the period when credible evidence changes institutional trust faster than organizations can replace technology.</w:t>
      </w:r>
    </w:p>
    <w:p>
      <w:pPr>
        <w:pStyle w:val="Heading2"/>
      </w:pPr>
      <w:r>
        <w:t>A realistic first morning</w:t>
      </w:r>
    </w:p>
    <w:tbl>
      <w:tblPr>
        <w:tblStyle w:val="TableGrid"/>
        <w:tblW w:type="auto" w:w="0"/>
        <w:jc w:val="center"/>
        <w:tblLook w:firstColumn="1" w:firstRow="1" w:lastColumn="0" w:lastRow="0" w:noHBand="0" w:noVBand="1" w:val="04A0"/>
      </w:tblPr>
      <w:tblGrid>
        <w:gridCol w:w="4997"/>
        <w:gridCol w:w="4997"/>
      </w:tblGrid>
      <w:tr>
        <w:trPr>
          <w:tblHeader w:val="true"/>
        </w:trPr>
        <w:tc>
          <w:tcPr>
            <w:tcW w:type="dxa" w:w="4997"/>
            <w:shd w:fill="1F4E79"/>
          </w:tcPr>
          <w:p>
            <w:r>
              <w:rPr>
                <w:b/>
                <w:color w:val="FFFFFF"/>
              </w:rPr>
              <w:t>Simulated time</w:t>
            </w:r>
          </w:p>
        </w:tc>
        <w:tc>
          <w:tcPr>
            <w:tcW w:type="dxa" w:w="4997"/>
            <w:shd w:fill="1F4E79"/>
          </w:tcPr>
          <w:p>
            <w:r>
              <w:rPr>
                <w:b/>
                <w:color w:val="FFFFFF"/>
              </w:rPr>
              <w:t>Executive pressure</w:t>
            </w:r>
          </w:p>
        </w:tc>
      </w:tr>
      <w:tr>
        <w:tc>
          <w:tcPr>
            <w:tcW w:type="dxa" w:w="4997"/>
            <w:vAlign w:val="center"/>
          </w:tcPr>
          <w:p>
            <w:r>
              <w:t>7:18 a.m.</w:t>
            </w:r>
          </w:p>
        </w:tc>
        <w:tc>
          <w:tcPr>
            <w:tcW w:type="dxa" w:w="4997"/>
            <w:vAlign w:val="center"/>
          </w:tcPr>
          <w:p>
            <w:r>
              <w:t>Credible reports indicate a practical cryptographic breakthrough. Government confirmation is incomplete.</w:t>
            </w:r>
          </w:p>
        </w:tc>
      </w:tr>
      <w:tr>
        <w:tc>
          <w:tcPr>
            <w:tcW w:type="dxa" w:w="4997"/>
            <w:vAlign w:val="center"/>
          </w:tcPr>
          <w:p>
            <w:r>
              <w:t>7:31 a.m.</w:t>
            </w:r>
          </w:p>
        </w:tc>
        <w:tc>
          <w:tcPr>
            <w:tcW w:type="dxa" w:w="4997"/>
            <w:vAlign w:val="center"/>
          </w:tcPr>
          <w:p>
            <w:r>
              <w:t>The board chair asks whether the matter is a technology story or an enterprise risk.</w:t>
            </w:r>
          </w:p>
        </w:tc>
      </w:tr>
      <w:tr>
        <w:tc>
          <w:tcPr>
            <w:tcW w:type="dxa" w:w="4997"/>
            <w:vAlign w:val="center"/>
          </w:tcPr>
          <w:p>
            <w:r>
              <w:t>7:42 a.m.</w:t>
            </w:r>
          </w:p>
        </w:tc>
        <w:tc>
          <w:tcPr>
            <w:tcW w:type="dxa" w:w="4997"/>
            <w:vAlign w:val="center"/>
          </w:tcPr>
          <w:p>
            <w:r>
              <w:t>A major customer requests written assurance before its risk committee meets.</w:t>
            </w:r>
          </w:p>
        </w:tc>
      </w:tr>
      <w:tr>
        <w:tc>
          <w:tcPr>
            <w:tcW w:type="dxa" w:w="4997"/>
            <w:vAlign w:val="center"/>
          </w:tcPr>
          <w:p>
            <w:r>
              <w:t>8:05 a.m.</w:t>
            </w:r>
          </w:p>
        </w:tc>
        <w:tc>
          <w:tcPr>
            <w:tcW w:type="dxa" w:w="4997"/>
            <w:vAlign w:val="center"/>
          </w:tcPr>
          <w:p>
            <w:r>
              <w:t>Two critical suppliers issue conflicting recommendations.</w:t>
            </w:r>
          </w:p>
        </w:tc>
      </w:tr>
      <w:tr>
        <w:tc>
          <w:tcPr>
            <w:tcW w:type="dxa" w:w="4997"/>
            <w:vAlign w:val="center"/>
          </w:tcPr>
          <w:p>
            <w:r>
              <w:t>8:24 a.m.</w:t>
            </w:r>
          </w:p>
        </w:tc>
        <w:tc>
          <w:tcPr>
            <w:tcW w:type="dxa" w:w="4997"/>
            <w:vAlign w:val="center"/>
          </w:tcPr>
          <w:p>
            <w:r>
              <w:t>Managers begin changing authentication procedures without enterprise approval.</w:t>
            </w:r>
          </w:p>
        </w:tc>
      </w:tr>
      <w:tr>
        <w:tc>
          <w:tcPr>
            <w:tcW w:type="dxa" w:w="4997"/>
            <w:vAlign w:val="center"/>
          </w:tcPr>
          <w:p>
            <w:r>
              <w:t>9:04 a.m.</w:t>
            </w:r>
          </w:p>
        </w:tc>
        <w:tc>
          <w:tcPr>
            <w:tcW w:type="dxa" w:w="4997"/>
            <w:vAlign w:val="center"/>
          </w:tcPr>
          <w:p>
            <w:r>
              <w:t>A regulator asks whether executive oversight has been activated and whether operations have changed.</w:t>
            </w:r>
          </w:p>
        </w:tc>
      </w:tr>
      <w:tr>
        <w:tc>
          <w:tcPr>
            <w:tcW w:type="dxa" w:w="4997"/>
            <w:vAlign w:val="center"/>
          </w:tcPr>
          <w:p>
            <w:r>
              <w:t>9:52 a.m.</w:t>
            </w:r>
          </w:p>
        </w:tc>
        <w:tc>
          <w:tcPr>
            <w:tcW w:type="dxa" w:w="4997"/>
            <w:vAlign w:val="center"/>
          </w:tcPr>
          <w:p>
            <w:r>
              <w:t>Security recommends stronger verification that may slow critical operations.</w:t>
            </w:r>
          </w:p>
        </w:tc>
      </w:tr>
      <w:tr>
        <w:tc>
          <w:tcPr>
            <w:tcW w:type="dxa" w:w="4997"/>
            <w:vAlign w:val="center"/>
          </w:tcPr>
          <w:p>
            <w:r>
              <w:t>10:42 a.m.</w:t>
            </w:r>
          </w:p>
        </w:tc>
        <w:tc>
          <w:tcPr>
            <w:tcW w:type="dxa" w:w="4997"/>
            <w:vAlign w:val="center"/>
          </w:tcPr>
          <w:p>
            <w:r>
              <w:t>The board asks what leadership knows, what it does not know, and what has already been decided.</w:t>
            </w:r>
          </w:p>
        </w:tc>
      </w:tr>
    </w:tbl>
    <w:p>
      <w:r>
        <w:t>Nothing in this sequence requires theatrical catastrophe. The pressure comes from ordinary executive responsibility: incomplete facts, limited time, competing advice, stakeholder demands, operational consequences, and future accountability.</w:t>
      </w:r>
    </w:p>
    <w:p>
      <w:pPr>
        <w:pStyle w:val="Heading1"/>
      </w:pPr>
      <w:r>
        <w:t>3. Why the Risk Is an Executive Problem</w:t>
      </w:r>
    </w:p>
    <w:p>
      <w:pPr>
        <w:pStyle w:val="Heading2"/>
      </w:pPr>
      <w:r>
        <w:t>Digital trust supports business authority</w:t>
      </w:r>
    </w:p>
    <w:p>
      <w:r>
        <w:t>Modern organizations rely on cryptography to establish identity, authorize access, protect communications, validate software, authenticate services, and support transactions. When confidence in those mechanisms changes, the organization must decide which actions remain admissible and which require alternate verification.</w:t>
      </w:r>
    </w:p>
    <w:p>
      <w:pPr>
        <w:pStyle w:val="Heading2"/>
      </w:pPr>
      <w:r>
        <w:t>Operational continuity can conflict with trust</w:t>
      </w:r>
    </w:p>
    <w:p>
      <w:r>
        <w:t>Stronger verification, isolation, or suspension may protect the organization while disrupting critical services. Continuing normal operations may preserve availability while accepting poorly understood risk. Neither choice is automatically correct. The quality of the decision depends upon authority, evidence, context, proportionality, and review.</w:t>
      </w:r>
    </w:p>
    <w:p>
      <w:pPr>
        <w:pStyle w:val="Heading2"/>
      </w:pPr>
      <w:r>
        <w:t>External stakeholders will not wait</w:t>
      </w:r>
    </w:p>
    <w:p>
      <w:r>
        <w:t>Customers, regulators, insurers, boards, employees, and the media may request answers before technical teams can establish certainty. Unsupported reassurance can create legal and reputational exposure. Silence can also damage confidence. Leadership must communicate what is known without overstating what can be proven.</w:t>
      </w:r>
    </w:p>
    <w:p>
      <w:pPr>
        <w:pStyle w:val="Heading2"/>
      </w:pPr>
      <w:r>
        <w:t>Decisions become evidence</w:t>
      </w:r>
    </w:p>
    <w:p>
      <w:r>
        <w:t>Months after an event, the organization may be asked who decided, under what authority, based on what evidence, after considering which alternatives, and with what accepted risk. Memory alone will not answer those questions.</w:t>
      </w:r>
    </w:p>
    <w:p>
      <w:pPr>
        <w:pStyle w:val="Heading1"/>
      </w:pPr>
      <w:r>
        <w:t>4. The Readiness Gap</w:t>
      </w:r>
    </w:p>
    <w:p>
      <w:r>
        <w:t>Most organizations possess incident response plans, business continuity plans, crisis communication procedures, and technical recovery playbooks. Those documents are necessary, but they do not automatically establish executive decision readiness.</w:t>
      </w:r>
    </w:p>
    <w:p>
      <w:pPr>
        <w:pStyle w:val="Heading2"/>
      </w:pPr>
      <w:r>
        <w:t>Common gaps revealed under pressure</w:t>
      </w:r>
    </w:p>
    <w:tbl>
      <w:tblPr>
        <w:tblStyle w:val="LightShading-Accent1"/>
        <w:tblW w:type="auto" w:w="0"/>
        <w:jc w:val="center"/>
        <w:tblLook w:firstColumn="1" w:firstRow="1" w:lastColumn="0" w:lastRow="0" w:noHBand="0" w:noVBand="1" w:val="04A0"/>
      </w:tblPr>
      <w:tblGrid>
        <w:gridCol w:w="4997"/>
        <w:gridCol w:w="4997"/>
      </w:tblGrid>
      <w:tr>
        <w:trPr>
          <w:tblHeader w:val="true"/>
        </w:trPr>
        <w:tc>
          <w:tcPr>
            <w:tcW w:type="dxa" w:w="4997"/>
          </w:tcPr>
          <w:p>
            <w:r>
              <w:t>Readiness gap</w:t>
            </w:r>
          </w:p>
        </w:tc>
        <w:tc>
          <w:tcPr>
            <w:tcW w:type="dxa" w:w="4997"/>
          </w:tcPr>
          <w:p>
            <w:r>
              <w:t>What it looks like</w:t>
            </w:r>
          </w:p>
        </w:tc>
      </w:tr>
      <w:tr>
        <w:tc>
          <w:tcPr>
            <w:tcW w:type="dxa" w:w="4997"/>
          </w:tcPr>
          <w:p>
            <w:r>
              <w:t>Authority ambiguity</w:t>
            </w:r>
          </w:p>
        </w:tc>
        <w:tc>
          <w:tcPr>
            <w:tcW w:type="dxa" w:w="4997"/>
          </w:tcPr>
          <w:p>
            <w:r>
              <w:t>Several leaders begin directing activity without confirming who owns the consequential decision.</w:t>
            </w:r>
          </w:p>
        </w:tc>
      </w:tr>
      <w:tr>
        <w:tc>
          <w:tcPr>
            <w:tcW w:type="dxa" w:w="4997"/>
          </w:tcPr>
          <w:p>
            <w:r>
              <w:t>Evidence drift</w:t>
            </w:r>
          </w:p>
        </w:tc>
        <w:tc>
          <w:tcPr>
            <w:tcW w:type="dxa" w:w="4997"/>
          </w:tcPr>
          <w:p>
            <w:r>
              <w:t>Assumptions, vendor statements, public reporting, and verified facts become mixed together.</w:t>
            </w:r>
          </w:p>
        </w:tc>
      </w:tr>
      <w:tr>
        <w:tc>
          <w:tcPr>
            <w:tcW w:type="dxa" w:w="4997"/>
          </w:tcPr>
          <w:p>
            <w:r>
              <w:t>Communication overreach</w:t>
            </w:r>
          </w:p>
        </w:tc>
        <w:tc>
          <w:tcPr>
            <w:tcW w:type="dxa" w:w="4997"/>
          </w:tcPr>
          <w:p>
            <w:r>
              <w:t>Stakeholder assurances become stronger than the evidence supporting them.</w:t>
            </w:r>
          </w:p>
        </w:tc>
      </w:tr>
      <w:tr>
        <w:tc>
          <w:tcPr>
            <w:tcW w:type="dxa" w:w="4997"/>
          </w:tcPr>
          <w:p>
            <w:r>
              <w:t>Identity dependence</w:t>
            </w:r>
          </w:p>
        </w:tc>
        <w:tc>
          <w:tcPr>
            <w:tcW w:type="dxa" w:w="4997"/>
          </w:tcPr>
          <w:p>
            <w:r>
              <w:t>Normal credentials are trusted even after the trust environment has changed.</w:t>
            </w:r>
          </w:p>
        </w:tc>
      </w:tr>
      <w:tr>
        <w:tc>
          <w:tcPr>
            <w:tcW w:type="dxa" w:w="4997"/>
          </w:tcPr>
          <w:p>
            <w:r>
              <w:t>Operational myopia</w:t>
            </w:r>
          </w:p>
        </w:tc>
        <w:tc>
          <w:tcPr>
            <w:tcW w:type="dxa" w:w="4997"/>
          </w:tcPr>
          <w:p>
            <w:r>
              <w:t>Technical continuity receives attention while board, customer, legal, insurance, or workforce consequences are overlooked.</w:t>
            </w:r>
          </w:p>
        </w:tc>
      </w:tr>
      <w:tr>
        <w:tc>
          <w:tcPr>
            <w:tcW w:type="dxa" w:w="4997"/>
          </w:tcPr>
          <w:p>
            <w:r>
              <w:t>Decision momentum</w:t>
            </w:r>
          </w:p>
        </w:tc>
        <w:tc>
          <w:tcPr>
            <w:tcW w:type="dxa" w:w="4997"/>
          </w:tcPr>
          <w:p>
            <w:r>
              <w:t>Leadership continues an earlier course because it has already committed, even after new evidence changes the context.</w:t>
            </w:r>
          </w:p>
        </w:tc>
      </w:tr>
      <w:tr>
        <w:tc>
          <w:tcPr>
            <w:tcW w:type="dxa" w:w="4997"/>
          </w:tcPr>
          <w:p>
            <w:r>
              <w:t>Documentation failure</w:t>
            </w:r>
          </w:p>
        </w:tc>
        <w:tc>
          <w:tcPr>
            <w:tcW w:type="dxa" w:w="4997"/>
          </w:tcPr>
          <w:p>
            <w:r>
              <w:t>Actions are taken, but authority, rationale, rejected alternatives, dissent, and review triggers are not preserved.</w:t>
            </w:r>
          </w:p>
        </w:tc>
      </w:tr>
      <w:tr>
        <w:tc>
          <w:tcPr>
            <w:tcW w:type="dxa" w:w="4997"/>
          </w:tcPr>
          <w:p>
            <w:r>
              <w:t>Institutional memory loss</w:t>
            </w:r>
          </w:p>
        </w:tc>
        <w:tc>
          <w:tcPr>
            <w:tcW w:type="dxa" w:w="4997"/>
          </w:tcPr>
          <w:p>
            <w:r>
              <w:t>The organization cannot reconstruct why a decision appeared reasonable at the time.</w:t>
            </w:r>
          </w:p>
        </w:tc>
      </w:tr>
    </w:tbl>
    <w:p>
      <w:pPr>
        <w:pStyle w:val="Heading2"/>
      </w:pPr>
      <w:r>
        <w:t>Why traditional exercises may not reveal these gaps</w:t>
      </w:r>
    </w:p>
    <w:p>
      <w:r>
        <w:t>Many tabletop exercises ask participants what they would do, then record discussion and produce an after-action summary. That approach can validate plans, but it may not capture the full decision environment. Participants may receive the same information at the same time, consequences may not change in response to their choices, and later accountability may receive limited attention.</w:t>
      </w:r>
    </w:p>
    <w:tbl>
      <w:tblPr>
        <w:tblW w:type="auto" w:w="0"/>
        <w:jc w:val="center"/>
        <w:tblLook w:firstColumn="1" w:firstRow="1" w:lastColumn="0" w:lastRow="0" w:noHBand="0" w:noVBand="1" w:val="04A0"/>
      </w:tblPr>
      <w:tblGrid>
        <w:gridCol w:w="9994"/>
      </w:tblGrid>
      <w:tr>
        <w:tc>
          <w:tcPr>
            <w:tcW w:type="dxa" w:w="9994"/>
            <w:shd w:fill="D9EAF7"/>
            <w:tcMar>
              <w:top w:w="140" w:type="dxa"/>
              <w:start w:w="160" w:type="dxa"/>
              <w:bottom w:w="140" w:type="dxa"/>
              <w:end w:w="160" w:type="dxa"/>
            </w:tcMar>
          </w:tcPr>
          <w:p>
            <w:pPr>
              <w:pStyle w:val="ExecutiveCallout"/>
              <w:jc w:val="center"/>
            </w:pPr>
            <w:r>
              <w:t>VaultMind evaluates the organization through the decisions it actually makes during the assessment, the evidence it preserves, and the account it can later reconstruct.</w:t>
            </w:r>
          </w:p>
        </w:tc>
      </w:tr>
    </w:tbl>
    <w:p>
      <w:pPr>
        <w:pStyle w:val="Heading1"/>
      </w:pPr>
      <w:r>
        <w:t>5. What the Assessment Evaluates</w:t>
      </w:r>
    </w:p>
    <w:p>
      <w:pPr>
        <w:pStyle w:val="Heading3"/>
      </w:pPr>
      <w:r>
        <w:t>Recognition</w:t>
      </w:r>
    </w:p>
    <w:p>
      <w:r>
        <w:t>How quickly leadership identifies that an emerging issue requires executive attention.</w:t>
      </w:r>
    </w:p>
    <w:p>
      <w:pPr>
        <w:pStyle w:val="Heading3"/>
      </w:pPr>
      <w:r>
        <w:t>Authority</w:t>
      </w:r>
    </w:p>
    <w:p>
      <w:r>
        <w:t>Whether decision ownership, delegation, emergency authority, and board responsibilities are explicit.</w:t>
      </w:r>
    </w:p>
    <w:p>
      <w:pPr>
        <w:pStyle w:val="Heading3"/>
      </w:pPr>
      <w:r>
        <w:t>Evidence</w:t>
      </w:r>
    </w:p>
    <w:p>
      <w:r>
        <w:t>Whether facts, assumptions, unknowns, contradictions, confidence, and freshness are distinguished.</w:t>
      </w:r>
    </w:p>
    <w:p>
      <w:pPr>
        <w:pStyle w:val="Heading3"/>
      </w:pPr>
      <w:r>
        <w:t>Identity and instruction trust</w:t>
      </w:r>
    </w:p>
    <w:p>
      <w:r>
        <w:t>Whether high-consequence identities and directives receive verification proportional to their impact.</w:t>
      </w:r>
    </w:p>
    <w:p>
      <w:pPr>
        <w:pStyle w:val="Heading3"/>
      </w:pPr>
      <w:r>
        <w:t>Decision quality</w:t>
      </w:r>
    </w:p>
    <w:p>
      <w:r>
        <w:t>Whether leadership defines the decision, considers alternatives, records rationale, accepts risk, and establishes review conditions.</w:t>
      </w:r>
    </w:p>
    <w:p>
      <w:pPr>
        <w:pStyle w:val="Heading3"/>
      </w:pPr>
      <w:r>
        <w:t>Communications</w:t>
      </w:r>
    </w:p>
    <w:p>
      <w:r>
        <w:t>Whether internal and external messages remain consistent, approved, evidence-based, and appropriate to the audience.</w:t>
      </w:r>
    </w:p>
    <w:p>
      <w:pPr>
        <w:pStyle w:val="Heading3"/>
      </w:pPr>
      <w:r>
        <w:t>Operational continuity</w:t>
      </w:r>
    </w:p>
    <w:p>
      <w:r>
        <w:t>Whether critical services are prioritized and decisions to continue, restrict, isolate, degrade, or stop are proportionate.</w:t>
      </w:r>
    </w:p>
    <w:p>
      <w:pPr>
        <w:pStyle w:val="Heading3"/>
      </w:pPr>
      <w:r>
        <w:t>Third-party dependencies</w:t>
      </w:r>
    </w:p>
    <w:p>
      <w:r>
        <w:t>Whether leadership understands suppliers, platforms, integrations, contracts, and external trust relationships.</w:t>
      </w:r>
    </w:p>
    <w:p>
      <w:pPr>
        <w:pStyle w:val="Heading3"/>
      </w:pPr>
      <w:r>
        <w:t>Board and regulatory readiness</w:t>
      </w:r>
    </w:p>
    <w:p>
      <w:r>
        <w:t>Whether leadership can explain the situation, uncertainty, decisions, authority, and required support.</w:t>
      </w:r>
    </w:p>
    <w:p>
      <w:pPr>
        <w:pStyle w:val="Heading3"/>
      </w:pPr>
      <w:r>
        <w:t>Replayability</w:t>
      </w:r>
    </w:p>
    <w:p>
      <w:r>
        <w:t>Whether an independent reviewer can reconstruct what happened and why.</w:t>
      </w:r>
    </w:p>
    <w:p>
      <w:pPr>
        <w:pStyle w:val="Heading3"/>
      </w:pPr>
      <w:r>
        <w:t>Decision defensibility</w:t>
      </w:r>
    </w:p>
    <w:p>
      <w:r>
        <w:t>Whether decisions remain reasonable based on what was known at the time, without hindsight.</w:t>
      </w:r>
    </w:p>
    <w:p>
      <w:pPr>
        <w:pStyle w:val="Heading3"/>
      </w:pPr>
      <w:r>
        <w:t>Institutional learning</w:t>
      </w:r>
    </w:p>
    <w:p>
      <w:r>
        <w:t>Whether observations become owned, measurable, time-bound improvements.</w:t>
      </w:r>
    </w:p>
    <w:p>
      <w:pPr>
        <w:pStyle w:val="Heading1"/>
      </w:pPr>
      <w:r>
        <w:t>6. How the Engagement Works</w:t>
      </w:r>
    </w:p>
    <w:tbl>
      <w:tblPr>
        <w:tblW w:type="auto" w:w="0"/>
        <w:jc w:val="center"/>
        <w:tblLayout w:type="autofit"/>
        <w:tblLook w:firstColumn="1" w:firstRow="1" w:lastColumn="0" w:lastRow="0" w:noHBand="0" w:noVBand="1" w:val="04A0"/>
      </w:tblPr>
      <w:tblGrid>
        <w:gridCol w:w="4997"/>
        <w:gridCol w:w="4997"/>
      </w:tblGrid>
      <w:tr>
        <w:tc>
          <w:tcPr>
            <w:tcW w:type="dxa" w:w="4997"/>
            <w:shd w:fill="1F4E79"/>
            <w:tcMar>
              <w:top w:w="100" w:type="dxa"/>
              <w:start w:w="120" w:type="dxa"/>
              <w:bottom w:w="100" w:type="dxa"/>
              <w:end w:w="120" w:type="dxa"/>
            </w:tcMar>
          </w:tcPr>
          <w:p>
            <w:pPr>
              <w:jc w:val="center"/>
            </w:pPr>
            <w:r>
              <w:rPr>
                <w:b/>
                <w:color w:val="FFFFFF"/>
                <w:sz w:val="34"/>
              </w:rPr>
              <w:t>1</w:t>
            </w:r>
          </w:p>
        </w:tc>
        <w:tc>
          <w:tcPr>
            <w:tcW w:type="dxa" w:w="4997"/>
            <w:shd w:fill="F4F7FA"/>
            <w:tcMar>
              <w:top w:w="100" w:type="dxa"/>
              <w:start w:w="120" w:type="dxa"/>
              <w:bottom w:w="100" w:type="dxa"/>
              <w:end w:w="120" w:type="dxa"/>
            </w:tcMar>
          </w:tcPr>
          <w:p>
            <w:r>
              <w:rPr>
                <w:b/>
                <w:color w:val="1F4E79"/>
              </w:rPr>
              <w:t>Preparation</w:t>
              <w:br/>
            </w:r>
            <w:r>
              <w:t>A planning call, document review, and targeted executive discovery establish the organizational context. Client terminology, critical services, key stakeholders, regulators, and major dependencies are incorporated into the scenario.</w:t>
            </w:r>
          </w:p>
        </w:tc>
      </w:tr>
    </w:tbl>
    <w:p>
      <w:pPr>
        <w:spacing w:after="20"/>
      </w:pPr>
    </w:p>
    <w:tbl>
      <w:tblPr>
        <w:tblW w:type="auto" w:w="0"/>
        <w:jc w:val="center"/>
        <w:tblLayout w:type="autofit"/>
        <w:tblLook w:firstColumn="1" w:firstRow="1" w:lastColumn="0" w:lastRow="0" w:noHBand="0" w:noVBand="1" w:val="04A0"/>
      </w:tblPr>
      <w:tblGrid>
        <w:gridCol w:w="4997"/>
        <w:gridCol w:w="4997"/>
      </w:tblGrid>
      <w:tr>
        <w:tc>
          <w:tcPr>
            <w:tcW w:type="dxa" w:w="4997"/>
            <w:shd w:fill="1F4E79"/>
            <w:tcMar>
              <w:top w:w="100" w:type="dxa"/>
              <w:start w:w="120" w:type="dxa"/>
              <w:bottom w:w="100" w:type="dxa"/>
              <w:end w:w="120" w:type="dxa"/>
            </w:tcMar>
          </w:tcPr>
          <w:p>
            <w:pPr>
              <w:jc w:val="center"/>
            </w:pPr>
            <w:r>
              <w:rPr>
                <w:b/>
                <w:color w:val="FFFFFF"/>
                <w:sz w:val="34"/>
              </w:rPr>
              <w:t>2</w:t>
            </w:r>
          </w:p>
        </w:tc>
        <w:tc>
          <w:tcPr>
            <w:tcW w:type="dxa" w:w="4997"/>
            <w:shd w:fill="F4F7FA"/>
            <w:tcMar>
              <w:top w:w="100" w:type="dxa"/>
              <w:start w:w="120" w:type="dxa"/>
              <w:bottom w:w="100" w:type="dxa"/>
              <w:end w:w="120" w:type="dxa"/>
            </w:tcMar>
          </w:tcPr>
          <w:p>
            <w:r>
              <w:rPr>
                <w:b/>
                <w:color w:val="1F4E79"/>
              </w:rPr>
              <w:t>Assessment day</w:t>
              <w:br/>
            </w:r>
            <w:r>
              <w:t>One VaultMind facilitator leads a time-compressed executive scenario. Participants receive realistic emails, calls, board questions, customer demands, vendor advisories, regulator inquiries, and operational updates.</w:t>
            </w:r>
          </w:p>
        </w:tc>
      </w:tr>
    </w:tbl>
    <w:p>
      <w:pPr>
        <w:spacing w:after="20"/>
      </w:pPr>
    </w:p>
    <w:tbl>
      <w:tblPr>
        <w:tblW w:type="auto" w:w="0"/>
        <w:jc w:val="center"/>
        <w:tblLayout w:type="autofit"/>
        <w:tblLook w:firstColumn="1" w:firstRow="1" w:lastColumn="0" w:lastRow="0" w:noHBand="0" w:noVBand="1" w:val="04A0"/>
      </w:tblPr>
      <w:tblGrid>
        <w:gridCol w:w="4997"/>
        <w:gridCol w:w="4997"/>
      </w:tblGrid>
      <w:tr>
        <w:tc>
          <w:tcPr>
            <w:tcW w:type="dxa" w:w="4997"/>
            <w:shd w:fill="1F4E79"/>
            <w:tcMar>
              <w:top w:w="100" w:type="dxa"/>
              <w:start w:w="120" w:type="dxa"/>
              <w:bottom w:w="100" w:type="dxa"/>
              <w:end w:w="120" w:type="dxa"/>
            </w:tcMar>
          </w:tcPr>
          <w:p>
            <w:pPr>
              <w:jc w:val="center"/>
            </w:pPr>
            <w:r>
              <w:rPr>
                <w:b/>
                <w:color w:val="FFFFFF"/>
                <w:sz w:val="34"/>
              </w:rPr>
              <w:t>3</w:t>
            </w:r>
          </w:p>
        </w:tc>
        <w:tc>
          <w:tcPr>
            <w:tcW w:type="dxa" w:w="4997"/>
            <w:shd w:fill="F4F7FA"/>
            <w:tcMar>
              <w:top w:w="100" w:type="dxa"/>
              <w:start w:w="120" w:type="dxa"/>
              <w:bottom w:w="100" w:type="dxa"/>
              <w:end w:w="120" w:type="dxa"/>
            </w:tcMar>
          </w:tcPr>
          <w:p>
            <w:r>
              <w:rPr>
                <w:b/>
                <w:color w:val="1F4E79"/>
              </w:rPr>
              <w:t>Decision capture</w:t>
              <w:br/>
            </w:r>
            <w:r>
              <w:t>Consequential decisions are documented with authority, evidence, assumptions, alternatives, expected outcomes, communications, and review triggers.</w:t>
            </w:r>
          </w:p>
        </w:tc>
      </w:tr>
    </w:tbl>
    <w:p>
      <w:pPr>
        <w:spacing w:after="20"/>
      </w:pPr>
    </w:p>
    <w:tbl>
      <w:tblPr>
        <w:tblW w:type="auto" w:w="0"/>
        <w:jc w:val="center"/>
        <w:tblLayout w:type="autofit"/>
        <w:tblLook w:firstColumn="1" w:firstRow="1" w:lastColumn="0" w:lastRow="0" w:noHBand="0" w:noVBand="1" w:val="04A0"/>
      </w:tblPr>
      <w:tblGrid>
        <w:gridCol w:w="4997"/>
        <w:gridCol w:w="4997"/>
      </w:tblGrid>
      <w:tr>
        <w:tc>
          <w:tcPr>
            <w:tcW w:type="dxa" w:w="4997"/>
            <w:shd w:fill="1F4E79"/>
            <w:tcMar>
              <w:top w:w="100" w:type="dxa"/>
              <w:start w:w="120" w:type="dxa"/>
              <w:bottom w:w="100" w:type="dxa"/>
              <w:end w:w="120" w:type="dxa"/>
            </w:tcMar>
          </w:tcPr>
          <w:p>
            <w:pPr>
              <w:jc w:val="center"/>
            </w:pPr>
            <w:r>
              <w:rPr>
                <w:b/>
                <w:color w:val="FFFFFF"/>
                <w:sz w:val="34"/>
              </w:rPr>
              <w:t>4</w:t>
            </w:r>
          </w:p>
        </w:tc>
        <w:tc>
          <w:tcPr>
            <w:tcW w:type="dxa" w:w="4997"/>
            <w:shd w:fill="F4F7FA"/>
            <w:tcMar>
              <w:top w:w="100" w:type="dxa"/>
              <w:start w:w="120" w:type="dxa"/>
              <w:bottom w:w="100" w:type="dxa"/>
              <w:end w:w="120" w:type="dxa"/>
            </w:tcMar>
          </w:tcPr>
          <w:p>
            <w:r>
              <w:rPr>
                <w:b/>
                <w:color w:val="1F4E79"/>
              </w:rPr>
              <w:t>Reconstruction</w:t>
              <w:br/>
            </w:r>
            <w:r>
              <w:t>The executive team revisits selected decisions using only the evidence available at the time. This limits hindsight and tests whether the organization can explain itself.</w:t>
            </w:r>
          </w:p>
        </w:tc>
      </w:tr>
    </w:tbl>
    <w:p>
      <w:pPr>
        <w:spacing w:after="20"/>
      </w:pPr>
    </w:p>
    <w:tbl>
      <w:tblPr>
        <w:tblW w:type="auto" w:w="0"/>
        <w:jc w:val="center"/>
        <w:tblLayout w:type="autofit"/>
        <w:tblLook w:firstColumn="1" w:firstRow="1" w:lastColumn="0" w:lastRow="0" w:noHBand="0" w:noVBand="1" w:val="04A0"/>
      </w:tblPr>
      <w:tblGrid>
        <w:gridCol w:w="4997"/>
        <w:gridCol w:w="4997"/>
      </w:tblGrid>
      <w:tr>
        <w:tc>
          <w:tcPr>
            <w:tcW w:type="dxa" w:w="4997"/>
            <w:shd w:fill="1F4E79"/>
            <w:tcMar>
              <w:top w:w="100" w:type="dxa"/>
              <w:start w:w="120" w:type="dxa"/>
              <w:bottom w:w="100" w:type="dxa"/>
              <w:end w:w="120" w:type="dxa"/>
            </w:tcMar>
          </w:tcPr>
          <w:p>
            <w:pPr>
              <w:jc w:val="center"/>
            </w:pPr>
            <w:r>
              <w:rPr>
                <w:b/>
                <w:color w:val="FFFFFF"/>
                <w:sz w:val="34"/>
              </w:rPr>
              <w:t>5</w:t>
            </w:r>
          </w:p>
        </w:tc>
        <w:tc>
          <w:tcPr>
            <w:tcW w:type="dxa" w:w="4997"/>
            <w:shd w:fill="F4F7FA"/>
            <w:tcMar>
              <w:top w:w="100" w:type="dxa"/>
              <w:start w:w="120" w:type="dxa"/>
              <w:bottom w:w="100" w:type="dxa"/>
              <w:end w:w="120" w:type="dxa"/>
            </w:tcMar>
          </w:tcPr>
          <w:p>
            <w:r>
              <w:rPr>
                <w:b/>
                <w:color w:val="1F4E79"/>
              </w:rPr>
              <w:t>Analysis and reporting</w:t>
              <w:br/>
            </w:r>
            <w:r>
              <w:t>VaultMind consolidates the chronology, decision records, evidence, communications, and observations into an executive assessment.</w:t>
            </w:r>
          </w:p>
        </w:tc>
      </w:tr>
    </w:tbl>
    <w:p>
      <w:pPr>
        <w:spacing w:after="20"/>
      </w:pPr>
    </w:p>
    <w:tbl>
      <w:tblPr>
        <w:tblW w:type="auto" w:w="0"/>
        <w:jc w:val="center"/>
        <w:tblLayout w:type="autofit"/>
        <w:tblLook w:firstColumn="1" w:firstRow="1" w:lastColumn="0" w:lastRow="0" w:noHBand="0" w:noVBand="1" w:val="04A0"/>
      </w:tblPr>
      <w:tblGrid>
        <w:gridCol w:w="4997"/>
        <w:gridCol w:w="4997"/>
      </w:tblGrid>
      <w:tr>
        <w:tc>
          <w:tcPr>
            <w:tcW w:type="dxa" w:w="4997"/>
            <w:shd w:fill="1F4E79"/>
            <w:tcMar>
              <w:top w:w="100" w:type="dxa"/>
              <w:start w:w="120" w:type="dxa"/>
              <w:bottom w:w="100" w:type="dxa"/>
              <w:end w:w="120" w:type="dxa"/>
            </w:tcMar>
          </w:tcPr>
          <w:p>
            <w:pPr>
              <w:jc w:val="center"/>
            </w:pPr>
            <w:r>
              <w:rPr>
                <w:b/>
                <w:color w:val="FFFFFF"/>
                <w:sz w:val="34"/>
              </w:rPr>
              <w:t>6</w:t>
            </w:r>
          </w:p>
        </w:tc>
        <w:tc>
          <w:tcPr>
            <w:tcW w:type="dxa" w:w="4997"/>
            <w:shd w:fill="F4F7FA"/>
            <w:tcMar>
              <w:top w:w="100" w:type="dxa"/>
              <w:start w:w="120" w:type="dxa"/>
              <w:bottom w:w="100" w:type="dxa"/>
              <w:end w:w="120" w:type="dxa"/>
            </w:tcMar>
          </w:tcPr>
          <w:p>
            <w:r>
              <w:rPr>
                <w:b/>
                <w:color w:val="1F4E79"/>
              </w:rPr>
              <w:t>Executive briefing</w:t>
              <w:br/>
            </w:r>
            <w:r>
              <w:t>Findings, strengths, exposure, and corrective actions are presented to leadership and, when requested, the board.</w:t>
            </w:r>
          </w:p>
        </w:tc>
      </w:tr>
    </w:tbl>
    <w:p>
      <w:pPr>
        <w:spacing w:after="20"/>
      </w:pPr>
    </w:p>
    <w:p>
      <w:pPr>
        <w:pStyle w:val="Heading2"/>
      </w:pPr>
      <w:r>
        <w:t>Typical timeline</w:t>
      </w:r>
    </w:p>
    <w:tbl>
      <w:tblPr>
        <w:tblStyle w:val="TableGrid"/>
        <w:tblW w:type="auto" w:w="0"/>
        <w:jc w:val="center"/>
        <w:tblLook w:firstColumn="1" w:firstRow="1" w:lastColumn="0" w:lastRow="0" w:noHBand="0" w:noVBand="1" w:val="04A0"/>
      </w:tblPr>
      <w:tblGrid>
        <w:gridCol w:w="3331"/>
        <w:gridCol w:w="3331"/>
        <w:gridCol w:w="3331"/>
      </w:tblGrid>
      <w:tr>
        <w:tc>
          <w:tcPr>
            <w:tcW w:type="dxa" w:w="3331"/>
            <w:shd w:fill="1F4E79"/>
          </w:tcPr>
          <w:p>
            <w:r>
              <w:rPr>
                <w:b/>
                <w:color w:val="FFFFFF"/>
              </w:rPr>
              <w:t>Stage</w:t>
            </w:r>
          </w:p>
        </w:tc>
        <w:tc>
          <w:tcPr>
            <w:tcW w:type="dxa" w:w="3331"/>
            <w:shd w:fill="1F4E79"/>
          </w:tcPr>
          <w:p>
            <w:r>
              <w:rPr>
                <w:b/>
                <w:color w:val="FFFFFF"/>
              </w:rPr>
              <w:t>Typical duration</w:t>
            </w:r>
          </w:p>
        </w:tc>
        <w:tc>
          <w:tcPr>
            <w:tcW w:type="dxa" w:w="3331"/>
            <w:shd w:fill="1F4E79"/>
          </w:tcPr>
          <w:p>
            <w:r>
              <w:rPr>
                <w:b/>
                <w:color w:val="FFFFFF"/>
              </w:rPr>
              <w:t>Primary output</w:t>
            </w:r>
          </w:p>
        </w:tc>
      </w:tr>
      <w:tr>
        <w:tc>
          <w:tcPr>
            <w:tcW w:type="dxa" w:w="3331"/>
          </w:tcPr>
          <w:p>
            <w:r>
              <w:t>Planning and tailoring</w:t>
            </w:r>
          </w:p>
        </w:tc>
        <w:tc>
          <w:tcPr>
            <w:tcW w:type="dxa" w:w="3331"/>
          </w:tcPr>
          <w:p>
            <w:r>
              <w:t>5-10 business days</w:t>
            </w:r>
          </w:p>
        </w:tc>
        <w:tc>
          <w:tcPr>
            <w:tcW w:type="dxa" w:w="3331"/>
          </w:tcPr>
          <w:p>
            <w:r>
              <w:t>Assessment plan and client profile</w:t>
            </w:r>
          </w:p>
        </w:tc>
      </w:tr>
      <w:tr>
        <w:tc>
          <w:tcPr>
            <w:tcW w:type="dxa" w:w="3331"/>
          </w:tcPr>
          <w:p>
            <w:r>
              <w:t>Executive assessment</w:t>
            </w:r>
          </w:p>
        </w:tc>
        <w:tc>
          <w:tcPr>
            <w:tcW w:type="dxa" w:w="3331"/>
          </w:tcPr>
          <w:p>
            <w:r>
              <w:t>One business day</w:t>
            </w:r>
          </w:p>
        </w:tc>
        <w:tc>
          <w:tcPr>
            <w:tcW w:type="dxa" w:w="3331"/>
          </w:tcPr>
          <w:p>
            <w:r>
              <w:t>Decision and evidence record</w:t>
            </w:r>
          </w:p>
        </w:tc>
      </w:tr>
      <w:tr>
        <w:tc>
          <w:tcPr>
            <w:tcW w:type="dxa" w:w="3331"/>
          </w:tcPr>
          <w:p>
            <w:r>
              <w:t>Analysis and report preparation</w:t>
            </w:r>
          </w:p>
        </w:tc>
        <w:tc>
          <w:tcPr>
            <w:tcW w:type="dxa" w:w="3331"/>
          </w:tcPr>
          <w:p>
            <w:r>
              <w:t>10 business days</w:t>
            </w:r>
          </w:p>
        </w:tc>
        <w:tc>
          <w:tcPr>
            <w:tcW w:type="dxa" w:w="3331"/>
          </w:tcPr>
          <w:p>
            <w:r>
              <w:t>Customer deliverables</w:t>
            </w:r>
          </w:p>
        </w:tc>
      </w:tr>
      <w:tr>
        <w:tc>
          <w:tcPr>
            <w:tcW w:type="dxa" w:w="3331"/>
          </w:tcPr>
          <w:p>
            <w:r>
              <w:t>Executive or board briefing</w:t>
            </w:r>
          </w:p>
        </w:tc>
        <w:tc>
          <w:tcPr>
            <w:tcW w:type="dxa" w:w="3331"/>
          </w:tcPr>
          <w:p>
            <w:r>
              <w:t>60-90 minutes</w:t>
            </w:r>
          </w:p>
        </w:tc>
        <w:tc>
          <w:tcPr>
            <w:tcW w:type="dxa" w:w="3331"/>
          </w:tcPr>
          <w:p>
            <w:r>
              <w:t>Decisions, findings, and roadmap</w:t>
            </w:r>
          </w:p>
        </w:tc>
      </w:tr>
    </w:tbl>
    <w:p>
      <w:pPr>
        <w:pStyle w:val="Heading1"/>
      </w:pPr>
      <w:r>
        <w:t>7. The Executive Experience</w:t>
      </w:r>
    </w:p>
    <w:p>
      <w:r>
        <w:t>The assessment is designed to feel like an executive operating session, not a classroom exercise. The facilitator does not lecture, provide preferred answers, or announce numbered injects. Information arrives through realistic business channels, and the environment responds to participant decisions.</w:t>
      </w:r>
    </w:p>
    <w:p>
      <w:pPr>
        <w:pStyle w:val="Heading2"/>
      </w:pPr>
      <w:r>
        <w:t>What participants experience</w:t>
      </w:r>
    </w:p>
    <w:p>
      <w:pPr>
        <w:pStyle w:val="ListBullet"/>
      </w:pPr>
      <w:r>
        <w:t>Different executives receive different pieces of information and must establish a shared operating picture.</w:t>
      </w:r>
    </w:p>
    <w:p>
      <w:pPr>
        <w:pStyle w:val="ListBullet"/>
      </w:pPr>
      <w:r>
        <w:t>Credible sources disagree, remain uncertain, or issue guidance that serves their own interests.</w:t>
      </w:r>
    </w:p>
    <w:p>
      <w:pPr>
        <w:pStyle w:val="ListBullet"/>
      </w:pPr>
      <w:r>
        <w:t>Customers, employees, boards, regulators, insurers, and vendors apply different kinds of pressure.</w:t>
      </w:r>
    </w:p>
    <w:p>
      <w:pPr>
        <w:pStyle w:val="ListBullet"/>
      </w:pPr>
      <w:r>
        <w:t>No catastrophic event is required. The organization changes because leadership decisions change it.</w:t>
      </w:r>
    </w:p>
    <w:p>
      <w:pPr>
        <w:pStyle w:val="ListBullet"/>
      </w:pPr>
      <w:r>
        <w:t>Periods of silence and limited information force leadership to govern without constant updates.</w:t>
      </w:r>
    </w:p>
    <w:p>
      <w:pPr>
        <w:pStyle w:val="ListBullet"/>
      </w:pPr>
      <w:r>
        <w:t>The afternoon shifts from response to reconstruction, accountability, and institutional learning.</w:t>
      </w:r>
    </w:p>
    <w:p>
      <w:pPr>
        <w:pStyle w:val="Heading2"/>
      </w:pPr>
      <w:r>
        <w:t>The recurring executive question</w:t>
      </w:r>
    </w:p>
    <w:tbl>
      <w:tblPr>
        <w:tblW w:type="auto" w:w="0"/>
        <w:jc w:val="center"/>
        <w:tblLook w:firstColumn="1" w:firstRow="1" w:lastColumn="0" w:lastRow="0" w:noHBand="0" w:noVBand="1" w:val="04A0"/>
      </w:tblPr>
      <w:tblGrid>
        <w:gridCol w:w="9994"/>
      </w:tblGrid>
      <w:tr>
        <w:tc>
          <w:tcPr>
            <w:tcW w:type="dxa" w:w="9994"/>
            <w:shd w:fill="D9EAF7"/>
            <w:tcMar>
              <w:top w:w="140" w:type="dxa"/>
              <w:start w:w="160" w:type="dxa"/>
              <w:bottom w:w="140" w:type="dxa"/>
              <w:end w:w="160" w:type="dxa"/>
            </w:tcMar>
          </w:tcPr>
          <w:p>
            <w:pPr>
              <w:pStyle w:val="ExecutiveCallout"/>
              <w:jc w:val="center"/>
            </w:pPr>
            <w:r>
              <w:t>What decision must be made now, based on what we know now, and how will we explain and defend it later?</w:t>
            </w:r>
          </w:p>
        </w:tc>
      </w:tr>
    </w:tbl>
    <w:p>
      <w:r>
        <w:t>This question connects recognition, authority, evidence, decision-making, execution, communications, consequence, reconstruction, and improvement. It also prevents the exercise from becoming a technical discussion detached from executive responsibility.</w:t>
      </w:r>
    </w:p>
    <w:p>
      <w:pPr>
        <w:pStyle w:val="Heading1"/>
      </w:pPr>
      <w:r>
        <w:t>8. Evidence, Reconstruction, and Defensibility</w:t>
      </w:r>
    </w:p>
    <w:p>
      <w:pPr>
        <w:pStyle w:val="Heading2"/>
      </w:pPr>
      <w:r>
        <w:t>Contemporaneous evidence</w:t>
      </w:r>
    </w:p>
    <w:p>
      <w:r>
        <w:t>The assessment treats decision records, communications, authority references, participant notes, drafts, whiteboards, and scenario materials as evidence of the organizational process. Records are evaluated for completeness, traceability, and consistency.</w:t>
      </w:r>
    </w:p>
    <w:p>
      <w:pPr>
        <w:pStyle w:val="Heading2"/>
      </w:pPr>
      <w:r>
        <w:t>Decision reconstruction</w:t>
      </w:r>
    </w:p>
    <w:p>
      <w:r>
        <w:t>For selected consequential decisions, the team returns to the exact moment the decision was made. Later information is removed. Leadership is asked to explain what it knew, what remained unknown, what authority existed, what alternatives were considered, and why the selected path appeared reasonable.</w:t>
      </w:r>
    </w:p>
    <w:p>
      <w:pPr>
        <w:pStyle w:val="Heading2"/>
      </w:pPr>
      <w:r>
        <w:t>Defensibility without hindsight</w:t>
      </w:r>
    </w:p>
    <w:p>
      <w:r>
        <w:t>A defensible decision is not necessarily one that produced a perfect outcome. It is one that a reasonable independent reviewer can understand based on the evidence, authority, context, assumptions, alternatives, and risks available at the time.</w:t>
      </w:r>
    </w:p>
    <w:tbl>
      <w:tblPr>
        <w:tblStyle w:val="TableGrid"/>
        <w:tblW w:type="auto" w:w="0"/>
        <w:jc w:val="center"/>
        <w:tblLook w:firstColumn="1" w:firstRow="1" w:lastColumn="0" w:lastRow="0" w:noHBand="0" w:noVBand="1" w:val="04A0"/>
      </w:tblPr>
      <w:tblGrid>
        <w:gridCol w:w="1428"/>
        <w:gridCol w:w="1428"/>
        <w:gridCol w:w="1428"/>
        <w:gridCol w:w="1428"/>
        <w:gridCol w:w="1428"/>
        <w:gridCol w:w="1428"/>
        <w:gridCol w:w="1428"/>
      </w:tblGrid>
      <w:tr>
        <w:tc>
          <w:tcPr>
            <w:tcW w:type="dxa" w:w="1428"/>
            <w:shd w:fill="D9EAF7"/>
          </w:tcPr>
          <w:p>
            <w:pPr>
              <w:jc w:val="center"/>
            </w:pPr>
            <w:r>
              <w:rPr>
                <w:b/>
                <w:sz w:val="17"/>
              </w:rPr>
              <w:t>Situation</w:t>
            </w:r>
          </w:p>
        </w:tc>
        <w:tc>
          <w:tcPr>
            <w:tcW w:type="dxa" w:w="1428"/>
            <w:shd w:fill="D9EAF7"/>
          </w:tcPr>
          <w:p>
            <w:pPr>
              <w:jc w:val="center"/>
            </w:pPr>
            <w:r>
              <w:rPr>
                <w:b/>
                <w:sz w:val="17"/>
              </w:rPr>
              <w:t>Evidence</w:t>
            </w:r>
          </w:p>
        </w:tc>
        <w:tc>
          <w:tcPr>
            <w:tcW w:type="dxa" w:w="1428"/>
            <w:shd w:fill="D9EAF7"/>
          </w:tcPr>
          <w:p>
            <w:pPr>
              <w:jc w:val="center"/>
            </w:pPr>
            <w:r>
              <w:rPr>
                <w:b/>
                <w:sz w:val="17"/>
              </w:rPr>
              <w:t>Authority</w:t>
            </w:r>
          </w:p>
        </w:tc>
        <w:tc>
          <w:tcPr>
            <w:tcW w:type="dxa" w:w="1428"/>
            <w:shd w:fill="D9EAF7"/>
          </w:tcPr>
          <w:p>
            <w:pPr>
              <w:jc w:val="center"/>
            </w:pPr>
            <w:r>
              <w:rPr>
                <w:b/>
                <w:sz w:val="17"/>
              </w:rPr>
              <w:t>Decision</w:t>
            </w:r>
          </w:p>
        </w:tc>
        <w:tc>
          <w:tcPr>
            <w:tcW w:type="dxa" w:w="1428"/>
            <w:shd w:fill="D9EAF7"/>
          </w:tcPr>
          <w:p>
            <w:pPr>
              <w:jc w:val="center"/>
            </w:pPr>
            <w:r>
              <w:rPr>
                <w:b/>
                <w:sz w:val="17"/>
              </w:rPr>
              <w:t>Communication</w:t>
            </w:r>
          </w:p>
        </w:tc>
        <w:tc>
          <w:tcPr>
            <w:tcW w:type="dxa" w:w="1428"/>
            <w:shd w:fill="D9EAF7"/>
          </w:tcPr>
          <w:p>
            <w:pPr>
              <w:jc w:val="center"/>
            </w:pPr>
            <w:r>
              <w:rPr>
                <w:b/>
                <w:sz w:val="17"/>
              </w:rPr>
              <w:t>Consequence</w:t>
            </w:r>
          </w:p>
        </w:tc>
        <w:tc>
          <w:tcPr>
            <w:tcW w:type="dxa" w:w="1428"/>
            <w:shd w:fill="D9EAF7"/>
          </w:tcPr>
          <w:p>
            <w:pPr>
              <w:jc w:val="center"/>
            </w:pPr>
            <w:r>
              <w:rPr>
                <w:b/>
                <w:sz w:val="17"/>
              </w:rPr>
              <w:t>Review</w:t>
            </w:r>
          </w:p>
        </w:tc>
      </w:tr>
    </w:tbl>
    <w:p>
      <w:pPr>
        <w:pStyle w:val="SmallCaption"/>
      </w:pPr>
      <w:r>
        <w:t>Every material finding must be traceable through this chain.</w:t>
      </w:r>
    </w:p>
    <w:p>
      <w:pPr>
        <w:pStyle w:val="Heading1"/>
      </w:pPr>
      <w:r>
        <w:t>9. Customer Deliverables</w:t>
      </w:r>
    </w:p>
    <w:p>
      <w:pPr>
        <w:pStyle w:val="Heading2"/>
      </w:pPr>
      <w:r>
        <w:t>Executive Summary</w:t>
      </w:r>
    </w:p>
    <w:p>
      <w:r>
        <w:t>A concise board-ready account of overall readiness, major strengths, material gaps, immediate priorities, and the recommended path forward.</w:t>
      </w:r>
    </w:p>
    <w:p>
      <w:pPr>
        <w:pStyle w:val="Heading2"/>
      </w:pPr>
      <w:r>
        <w:t>Executive Assessment Report</w:t>
      </w:r>
    </w:p>
    <w:p>
      <w:r>
        <w:t>The primary evidence-supported report, including scope, methodology, chronology, findings, decision analysis, business consequences, and recommendations.</w:t>
      </w:r>
    </w:p>
    <w:p>
      <w:pPr>
        <w:pStyle w:val="Heading2"/>
      </w:pPr>
      <w:r>
        <w:t>Decision Record</w:t>
      </w:r>
    </w:p>
    <w:p>
      <w:r>
        <w:t>A structured record of consequential decisions, including ownership, authority, evidence, assumptions, alternatives, outcome, and later review.</w:t>
      </w:r>
    </w:p>
    <w:p>
      <w:pPr>
        <w:pStyle w:val="Heading2"/>
      </w:pPr>
      <w:r>
        <w:t>Executive Decision Chronicle</w:t>
      </w:r>
    </w:p>
    <w:p>
      <w:r>
        <w:t>A readable narrative reconstruction of how leadership understanding, governance, decisions, and confidence evolved during the assessment.</w:t>
      </w:r>
    </w:p>
    <w:p>
      <w:pPr>
        <w:pStyle w:val="Heading2"/>
      </w:pPr>
      <w:r>
        <w:t>Board Book</w:t>
      </w:r>
    </w:p>
    <w:p>
      <w:r>
        <w:t>A concise director-focused package containing the executive timeline, key decisions, governance observations, investment priorities, and board questions.</w:t>
      </w:r>
    </w:p>
    <w:p>
      <w:pPr>
        <w:pStyle w:val="Heading2"/>
      </w:pPr>
      <w:r>
        <w:t>Corrective Roadmap</w:t>
      </w:r>
    </w:p>
    <w:p>
      <w:r>
        <w:t>A sequenced implementation plan covering immediate, 30-day, 90-day, six-month, and annual actions with suggested owners and validation measures.</w:t>
      </w:r>
    </w:p>
    <w:p>
      <w:pPr>
        <w:pStyle w:val="Heading2"/>
      </w:pPr>
      <w:r>
        <w:t>Executive Presentation</w:t>
      </w:r>
    </w:p>
    <w:p>
      <w:r>
        <w:t>A board-quality presentation used to brief leadership on what occurred, why it matters, what evidence supports the conclusions, and what decisions are required next.</w:t>
      </w:r>
    </w:p>
    <w:p>
      <w:pPr>
        <w:pStyle w:val="Heading2"/>
      </w:pPr>
      <w:r>
        <w:t>What the client does not receive</w:t>
      </w:r>
    </w:p>
    <w:p>
      <w:r>
        <w:t>VaultMind does not transfer its facilitator manual, scenario master, branch logic, internal observation methods, finding library, quality controls, or reusable production assets. Those materials remain VaultMind intellectual property and support consistent, independent delivery.</w:t>
      </w:r>
    </w:p>
    <w:p>
      <w:pPr>
        <w:pStyle w:val="Heading1"/>
      </w:pPr>
      <w:r>
        <w:t>10. Business Value</w:t>
      </w:r>
    </w:p>
    <w:p>
      <w:pPr>
        <w:pStyle w:val="Heading3"/>
      </w:pPr>
      <w:r>
        <w:t>Board confidence</w:t>
      </w:r>
    </w:p>
    <w:p>
      <w:r>
        <w:t>Directors receive an evidence-based understanding of executive readiness rather than a generalized statement that an exercise was completed.</w:t>
      </w:r>
    </w:p>
    <w:p>
      <w:pPr>
        <w:pStyle w:val="Heading3"/>
      </w:pPr>
      <w:r>
        <w:t>Faster executive alignment</w:t>
      </w:r>
    </w:p>
    <w:p>
      <w:r>
        <w:t>Authority, decision ownership, critical priorities, and stakeholder responsibilities become explicit before a real event forces clarification.</w:t>
      </w:r>
    </w:p>
    <w:p>
      <w:pPr>
        <w:pStyle w:val="Heading3"/>
      </w:pPr>
      <w:r>
        <w:t>More credible communications</w:t>
      </w:r>
    </w:p>
    <w:p>
      <w:r>
        <w:t>Leadership learns to distinguish what can be proven from what is believed, expected, or still unknown.</w:t>
      </w:r>
    </w:p>
    <w:p>
      <w:pPr>
        <w:pStyle w:val="Heading3"/>
      </w:pPr>
      <w:r>
        <w:t>Reduced dependence on memory</w:t>
      </w:r>
    </w:p>
    <w:p>
      <w:r>
        <w:t>The organization establishes a record that future executives, counsel, insurers, regulators, and reviewers can understand.</w:t>
      </w:r>
    </w:p>
    <w:p>
      <w:pPr>
        <w:pStyle w:val="Heading3"/>
      </w:pPr>
      <w:r>
        <w:t>Better risk acceptance</w:t>
      </w:r>
    </w:p>
    <w:p>
      <w:r>
        <w:t>Leadership can see which risks were consciously accepted, by whom, why, and under what review conditions.</w:t>
      </w:r>
    </w:p>
    <w:p>
      <w:pPr>
        <w:pStyle w:val="Heading3"/>
      </w:pPr>
      <w:r>
        <w:t>Improved continuity decisions</w:t>
      </w:r>
    </w:p>
    <w:p>
      <w:r>
        <w:t>Operational availability is evaluated alongside identity trust, legal exposure, customer impact, and recovery difficulty.</w:t>
      </w:r>
    </w:p>
    <w:p>
      <w:pPr>
        <w:pStyle w:val="Heading3"/>
      </w:pPr>
      <w:r>
        <w:t>Actionable investment priorities</w:t>
      </w:r>
    </w:p>
    <w:p>
      <w:r>
        <w:t>The corrective roadmap directs resources toward observable capability gaps instead of broad calls for more technology.</w:t>
      </w:r>
    </w:p>
    <w:p>
      <w:pPr>
        <w:pStyle w:val="Heading2"/>
      </w:pPr>
      <w:r>
        <w:t>The value is not a score</w:t>
      </w:r>
    </w:p>
    <w:p>
      <w:r>
        <w:t>The assessment does not manufacture false precision by ranking executives or assigning unsupported numerical grades. It characterizes organizational capability using evidence, identifies where governance remained strong or became unstable, and explains what should change.</w:t>
      </w:r>
    </w:p>
    <w:p>
      <w:pPr>
        <w:pStyle w:val="Heading1"/>
      </w:pPr>
      <w:r>
        <w:t>11. Intended Organizations and Participants</w:t>
      </w:r>
    </w:p>
    <w:p>
      <w:pPr>
        <w:pStyle w:val="Heading2"/>
      </w:pPr>
      <w:r>
        <w:t>Organizations</w:t>
      </w:r>
    </w:p>
    <w:p>
      <w:pPr>
        <w:pStyle w:val="ListBullet"/>
      </w:pPr>
      <w:r>
        <w:t>Financial institutions and payment organizations</w:t>
      </w:r>
    </w:p>
    <w:p>
      <w:pPr>
        <w:pStyle w:val="ListBullet"/>
      </w:pPr>
      <w:r>
        <w:t>Healthcare systems and health services</w:t>
      </w:r>
    </w:p>
    <w:p>
      <w:pPr>
        <w:pStyle w:val="ListBullet"/>
      </w:pPr>
      <w:r>
        <w:t>Energy, water, transportation, and other critical infrastructure</w:t>
      </w:r>
    </w:p>
    <w:p>
      <w:pPr>
        <w:pStyle w:val="ListBullet"/>
      </w:pPr>
      <w:r>
        <w:t>Government and public-sector organizations</w:t>
      </w:r>
    </w:p>
    <w:p>
      <w:pPr>
        <w:pStyle w:val="ListBullet"/>
      </w:pPr>
      <w:r>
        <w:t>Defense and national-security suppliers</w:t>
      </w:r>
    </w:p>
    <w:p>
      <w:pPr>
        <w:pStyle w:val="ListBullet"/>
      </w:pPr>
      <w:r>
        <w:t>Technology providers and cloud-dependent enterprises</w:t>
      </w:r>
    </w:p>
    <w:p>
      <w:pPr>
        <w:pStyle w:val="ListBullet"/>
      </w:pPr>
      <w:r>
        <w:t>Manufacturers with complex operational and supplier dependencies</w:t>
      </w:r>
    </w:p>
    <w:p>
      <w:pPr>
        <w:pStyle w:val="ListBullet"/>
      </w:pPr>
      <w:r>
        <w:t>Organizations with significant identity, transaction, or long-lived data exposure</w:t>
      </w:r>
    </w:p>
    <w:p>
      <w:pPr>
        <w:pStyle w:val="Heading2"/>
      </w:pPr>
      <w:r>
        <w:t>Participants</w:t>
      </w:r>
    </w:p>
    <w:p>
      <w:pPr>
        <w:pStyle w:val="ListBullet"/>
      </w:pPr>
      <w:r>
        <w:t>Chief Executive Officer or executive sponsor</w:t>
      </w:r>
    </w:p>
    <w:p>
      <w:pPr>
        <w:pStyle w:val="ListBullet"/>
      </w:pPr>
      <w:r>
        <w:t>Chief Operating Officer</w:t>
      </w:r>
    </w:p>
    <w:p>
      <w:pPr>
        <w:pStyle w:val="ListBullet"/>
      </w:pPr>
      <w:r>
        <w:t>Chief Information Officer</w:t>
      </w:r>
    </w:p>
    <w:p>
      <w:pPr>
        <w:pStyle w:val="ListBullet"/>
      </w:pPr>
      <w:r>
        <w:t>Chief Information Security Officer</w:t>
      </w:r>
    </w:p>
    <w:p>
      <w:pPr>
        <w:pStyle w:val="ListBullet"/>
      </w:pPr>
      <w:r>
        <w:t>General Counsel</w:t>
      </w:r>
    </w:p>
    <w:p>
      <w:pPr>
        <w:pStyle w:val="ListBullet"/>
      </w:pPr>
      <w:r>
        <w:t>Chief Risk Officer or equivalent</w:t>
      </w:r>
    </w:p>
    <w:p>
      <w:pPr>
        <w:pStyle w:val="ListBullet"/>
      </w:pPr>
      <w:r>
        <w:t>Chief Financial Officer</w:t>
      </w:r>
    </w:p>
    <w:p>
      <w:pPr>
        <w:pStyle w:val="ListBullet"/>
      </w:pPr>
      <w:r>
        <w:t>Communications or public affairs leader</w:t>
      </w:r>
    </w:p>
    <w:p>
      <w:pPr>
        <w:pStyle w:val="ListBullet"/>
      </w:pPr>
      <w:r>
        <w:t>Business continuity or resilience leader</w:t>
      </w:r>
    </w:p>
    <w:p>
      <w:pPr>
        <w:pStyle w:val="ListBullet"/>
      </w:pPr>
      <w:r>
        <w:t>Critical operations and identity leaders</w:t>
      </w:r>
    </w:p>
    <w:p>
      <w:pPr>
        <w:pStyle w:val="ListBullet"/>
      </w:pPr>
      <w:r>
        <w:t>Selected board participation, when appropriate</w:t>
      </w:r>
    </w:p>
    <w:p>
      <w:r>
        <w:t>The assessment is designed for approximately six to twelve participants. Smaller organizations may combine roles. The default deliverable evaluates organizational capability, not individual performance.</w:t>
      </w:r>
    </w:p>
    <w:p>
      <w:pPr>
        <w:pStyle w:val="Heading1"/>
      </w:pPr>
      <w:r>
        <w:t>12. Engagement Scope and Boundaries</w:t>
      </w:r>
    </w:p>
    <w:tbl>
      <w:tblPr>
        <w:tblStyle w:val="TableGrid"/>
        <w:tblW w:type="auto" w:w="0"/>
        <w:jc w:val="center"/>
        <w:tblLook w:firstColumn="1" w:firstRow="1" w:lastColumn="0" w:lastRow="0" w:noHBand="0" w:noVBand="1" w:val="04A0"/>
      </w:tblPr>
      <w:tblGrid>
        <w:gridCol w:w="4997"/>
        <w:gridCol w:w="4997"/>
      </w:tblGrid>
      <w:tr>
        <w:tc>
          <w:tcPr>
            <w:tcW w:type="dxa" w:w="4997"/>
            <w:shd w:fill="1F4E79"/>
          </w:tcPr>
          <w:p>
            <w:r>
              <w:rPr>
                <w:b/>
                <w:color w:val="FFFFFF"/>
              </w:rPr>
              <w:t>Included</w:t>
            </w:r>
          </w:p>
        </w:tc>
        <w:tc>
          <w:tcPr>
            <w:tcW w:type="dxa" w:w="4997"/>
            <w:shd w:fill="1F4E79"/>
          </w:tcPr>
          <w:p>
            <w:r>
              <w:rPr>
                <w:b/>
                <w:color w:val="FFFFFF"/>
              </w:rPr>
              <w:t>Not included</w:t>
            </w:r>
          </w:p>
        </w:tc>
      </w:tr>
      <w:tr>
        <w:tc>
          <w:tcPr>
            <w:tcW w:type="dxa" w:w="4997"/>
          </w:tcPr>
          <w:p>
            <w:r>
              <w:t>Executive decision readiness</w:t>
            </w:r>
          </w:p>
        </w:tc>
        <w:tc>
          <w:tcPr>
            <w:tcW w:type="dxa" w:w="4997"/>
          </w:tcPr>
          <w:p>
            <w:r>
              <w:t>Penetration testing</w:t>
            </w:r>
          </w:p>
        </w:tc>
      </w:tr>
      <w:tr>
        <w:tc>
          <w:tcPr>
            <w:tcW w:type="dxa" w:w="4997"/>
          </w:tcPr>
          <w:p>
            <w:r>
              <w:t>Authority and governance</w:t>
            </w:r>
          </w:p>
        </w:tc>
        <w:tc>
          <w:tcPr>
            <w:tcW w:type="dxa" w:w="4997"/>
          </w:tcPr>
          <w:p>
            <w:r>
              <w:t>Cryptographic architecture certification</w:t>
            </w:r>
          </w:p>
        </w:tc>
      </w:tr>
      <w:tr>
        <w:tc>
          <w:tcPr>
            <w:tcW w:type="dxa" w:w="4997"/>
          </w:tcPr>
          <w:p>
            <w:r>
              <w:t>Evidence and assumptions</w:t>
            </w:r>
          </w:p>
        </w:tc>
        <w:tc>
          <w:tcPr>
            <w:tcW w:type="dxa" w:w="4997"/>
          </w:tcPr>
          <w:p>
            <w:r>
              <w:t>Vulnerability assessment</w:t>
            </w:r>
          </w:p>
        </w:tc>
      </w:tr>
      <w:tr>
        <w:tc>
          <w:tcPr>
            <w:tcW w:type="dxa" w:w="4997"/>
          </w:tcPr>
          <w:p>
            <w:r>
              <w:t>Identity and instruction trust</w:t>
            </w:r>
          </w:p>
        </w:tc>
        <w:tc>
          <w:tcPr>
            <w:tcW w:type="dxa" w:w="4997"/>
          </w:tcPr>
          <w:p>
            <w:r>
              <w:t>Compliance certification</w:t>
            </w:r>
          </w:p>
        </w:tc>
      </w:tr>
      <w:tr>
        <w:tc>
          <w:tcPr>
            <w:tcW w:type="dxa" w:w="4997"/>
          </w:tcPr>
          <w:p>
            <w:r>
              <w:t>Communications and stakeholder management</w:t>
            </w:r>
          </w:p>
        </w:tc>
        <w:tc>
          <w:tcPr>
            <w:tcW w:type="dxa" w:w="4997"/>
          </w:tcPr>
          <w:p>
            <w:r>
              <w:t>Legal opinion</w:t>
            </w:r>
          </w:p>
        </w:tc>
      </w:tr>
      <w:tr>
        <w:tc>
          <w:tcPr>
            <w:tcW w:type="dxa" w:w="4997"/>
          </w:tcPr>
          <w:p>
            <w:r>
              <w:t>Operational continuity decisions</w:t>
            </w:r>
          </w:p>
        </w:tc>
        <w:tc>
          <w:tcPr>
            <w:tcW w:type="dxa" w:w="4997"/>
          </w:tcPr>
          <w:p>
            <w:r>
              <w:t>Insurance coverage determination</w:t>
            </w:r>
          </w:p>
        </w:tc>
      </w:tr>
      <w:tr>
        <w:tc>
          <w:tcPr>
            <w:tcW w:type="dxa" w:w="4997"/>
          </w:tcPr>
          <w:p>
            <w:r>
              <w:t>Decision reconstruction and defensibility</w:t>
            </w:r>
          </w:p>
        </w:tc>
        <w:tc>
          <w:tcPr>
            <w:tcW w:type="dxa" w:w="4997"/>
          </w:tcPr>
          <w:p>
            <w:r>
              <w:t>Prediction of Q-Day timing</w:t>
            </w:r>
          </w:p>
        </w:tc>
      </w:tr>
      <w:tr>
        <w:tc>
          <w:tcPr>
            <w:tcW w:type="dxa" w:w="4997"/>
          </w:tcPr>
          <w:p>
            <w:r>
              <w:t>Corrective roadmap and executive briefing</w:t>
            </w:r>
          </w:p>
        </w:tc>
        <w:tc>
          <w:tcPr>
            <w:tcW w:type="dxa" w:w="4997"/>
          </w:tcPr>
          <w:p>
            <w:r>
              <w:t>Individual employment evaluation</w:t>
            </w:r>
          </w:p>
        </w:tc>
      </w:tr>
    </w:tbl>
    <w:p>
      <w:pPr>
        <w:pStyle w:val="Heading1"/>
      </w:pPr>
      <w:r>
        <w:t>13. Delivery Model</w:t>
      </w:r>
    </w:p>
    <w:p>
      <w:r>
        <w:t>The launch engagement is intentionally designed for delivery by one VaultMind facilitator. The customer does not need to provide actors, observers, or scenario controllers.</w:t>
      </w:r>
    </w:p>
    <w:p>
      <w:pPr>
        <w:pStyle w:val="Heading2"/>
      </w:pPr>
      <w:r>
        <w:t>VaultMind provides</w:t>
      </w:r>
    </w:p>
    <w:p>
      <w:pPr>
        <w:pStyle w:val="ListBullet"/>
      </w:pPr>
      <w:r>
        <w:t>Planning and tailoring</w:t>
      </w:r>
    </w:p>
    <w:p>
      <w:pPr>
        <w:pStyle w:val="ListBullet"/>
      </w:pPr>
      <w:r>
        <w:t>Facilitation</w:t>
      </w:r>
    </w:p>
    <w:p>
      <w:pPr>
        <w:pStyle w:val="ListBullet"/>
      </w:pPr>
      <w:r>
        <w:t>Printed or digital scenario materials</w:t>
      </w:r>
    </w:p>
    <w:p>
      <w:pPr>
        <w:pStyle w:val="ListBullet"/>
      </w:pPr>
      <w:r>
        <w:t>Decision and evidence capture structure</w:t>
      </w:r>
    </w:p>
    <w:p>
      <w:pPr>
        <w:pStyle w:val="ListBullet"/>
      </w:pPr>
      <w:r>
        <w:t>Assessment analysis</w:t>
      </w:r>
    </w:p>
    <w:p>
      <w:pPr>
        <w:pStyle w:val="ListBullet"/>
      </w:pPr>
      <w:r>
        <w:t>Report preparation</w:t>
      </w:r>
    </w:p>
    <w:p>
      <w:pPr>
        <w:pStyle w:val="ListBullet"/>
      </w:pPr>
      <w:r>
        <w:t>Executive and board briefing</w:t>
      </w:r>
    </w:p>
    <w:p>
      <w:pPr>
        <w:pStyle w:val="Heading2"/>
      </w:pPr>
      <w:r>
        <w:t>The client provides</w:t>
      </w:r>
    </w:p>
    <w:p>
      <w:pPr>
        <w:pStyle w:val="ListBullet"/>
      </w:pPr>
      <w:r>
        <w:t>Executive sponsor</w:t>
      </w:r>
    </w:p>
    <w:p>
      <w:pPr>
        <w:pStyle w:val="ListBullet"/>
      </w:pPr>
      <w:r>
        <w:t>Participants</w:t>
      </w:r>
    </w:p>
    <w:p>
      <w:pPr>
        <w:pStyle w:val="ListBullet"/>
      </w:pPr>
      <w:r>
        <w:t>Meeting room or secure virtual meeting environment</w:t>
      </w:r>
    </w:p>
    <w:p>
      <w:pPr>
        <w:pStyle w:val="ListBullet"/>
      </w:pPr>
      <w:r>
        <w:t>Selected organizational documents and context</w:t>
      </w:r>
    </w:p>
    <w:p>
      <w:pPr>
        <w:pStyle w:val="ListBullet"/>
      </w:pPr>
      <w:r>
        <w:t>A single logistics contact</w:t>
      </w:r>
    </w:p>
    <w:p>
      <w:pPr>
        <w:pStyle w:val="Heading2"/>
      </w:pPr>
      <w:r>
        <w:t>How one-person delivery works</w:t>
      </w:r>
    </w:p>
    <w:p>
      <w:r>
        <w:t>The facilitator releases a curated set of approximately thirty to forty high-value events rather than attempting to simulate hundreds of simultaneous communications. Participants document decisions using the executive workbook, allowing the facilitator to focus on pacing, challenge, observation, and evidence capture. The scenario uses printed emails, board questions, customer communications, vendor advisories, and facilitator-read calls. No video production or acting team is required.</w:t>
      </w:r>
    </w:p>
    <w:p>
      <w:pPr>
        <w:pStyle w:val="Heading1"/>
      </w:pPr>
      <w:r>
        <w:t>14. Frequently Asked Questions</w:t>
      </w:r>
    </w:p>
    <w:p>
      <w:pPr>
        <w:pStyle w:val="Heading2"/>
      </w:pPr>
      <w:r>
        <w:t>Is this a tabletop exercise?</w:t>
      </w:r>
    </w:p>
    <w:p>
      <w:r>
        <w:t>It uses a scenario, but the commercial purpose is broader. It is an executive decision readiness assessment focused on governance, evidence, authority, communications, reconstruction, and improvement.</w:t>
      </w:r>
    </w:p>
    <w:p>
      <w:pPr>
        <w:pStyle w:val="Heading2"/>
      </w:pPr>
      <w:r>
        <w:t>Do participants need quantum expertise?</w:t>
      </w:r>
    </w:p>
    <w:p>
      <w:r>
        <w:t>No. The technical catalyst is explained only to the degree required for executive decisions. Subject-matter expertise may inform leadership, but the assessment evaluates organizational decision capability.</w:t>
      </w:r>
    </w:p>
    <w:p>
      <w:pPr>
        <w:pStyle w:val="Heading2"/>
      </w:pPr>
      <w:r>
        <w:t>Does the assessment evaluate individuals?</w:t>
      </w:r>
    </w:p>
    <w:p>
      <w:r>
        <w:t>The default engagement evaluates organizational and functional capability. It does not provide personal scores or recommend employment action.</w:t>
      </w:r>
    </w:p>
    <w:p>
      <w:pPr>
        <w:pStyle w:val="Heading2"/>
      </w:pPr>
      <w:r>
        <w:t>Could the report create legal exposure?</w:t>
      </w:r>
    </w:p>
    <w:p>
      <w:r>
        <w:t>Any meaningful assessment may reveal weaknesses. Report distribution, privilege, record retention, and legal participation should be determined by the client. VaultMind uses objective, evidence-supported, process-focused language and does not make legal conclusions.</w:t>
      </w:r>
    </w:p>
    <w:p>
      <w:pPr>
        <w:pStyle w:val="Heading2"/>
      </w:pPr>
      <w:r>
        <w:t>Can our legal counsel participate?</w:t>
      </w:r>
    </w:p>
    <w:p>
      <w:r>
        <w:t>Yes. Participation by general counsel or designated legal leadership is strongly recommended.</w:t>
      </w:r>
    </w:p>
    <w:p>
      <w:pPr>
        <w:pStyle w:val="Heading2"/>
      </w:pPr>
      <w:r>
        <w:t>Can our board participate?</w:t>
      </w:r>
    </w:p>
    <w:p>
      <w:r>
        <w:t>Yes. The board may participate directly, receive a simulated briefing, or receive the completed board book and executive presentation.</w:t>
      </w:r>
    </w:p>
    <w:p>
      <w:pPr>
        <w:pStyle w:val="Heading2"/>
      </w:pPr>
      <w:r>
        <w:t>Do we need a large internal support team?</w:t>
      </w:r>
    </w:p>
    <w:p>
      <w:r>
        <w:t>No. One client logistics contact is sufficient for the launch engagement.</w:t>
      </w:r>
    </w:p>
    <w:p>
      <w:pPr>
        <w:pStyle w:val="Heading2"/>
      </w:pPr>
      <w:r>
        <w:t>Can the assessment be delivered remotely?</w:t>
      </w:r>
    </w:p>
    <w:p>
      <w:r>
        <w:t>Yes. Scenario materials can be delivered through secure email, chat, shared documents, and facilitated calls. In-person delivery is preferred when executive interaction and physical decision reconstruction are important.</w:t>
      </w:r>
    </w:p>
    <w:p>
      <w:pPr>
        <w:pStyle w:val="Heading2"/>
      </w:pPr>
      <w:r>
        <w:t>What happens if the team makes a poor decision?</w:t>
      </w:r>
    </w:p>
    <w:p>
      <w:r>
        <w:t>The scenario responds with plausible consequences. The purpose is not punishment. The team is evaluated on whether it recognizes changes, revisits assumptions, documents reasoning, and adapts.</w:t>
      </w:r>
    </w:p>
    <w:p>
      <w:pPr>
        <w:pStyle w:val="Heading2"/>
      </w:pPr>
      <w:r>
        <w:t>Do we receive a certification?</w:t>
      </w:r>
    </w:p>
    <w:p>
      <w:r>
        <w:t>No. The client receives an independent assessment and completion letter, not a claim that the organization is secure, compliant, or fully prepared.</w:t>
      </w:r>
    </w:p>
    <w:p>
      <w:pPr>
        <w:pStyle w:val="Heading2"/>
      </w:pPr>
      <w:r>
        <w:t>How long does the engagement take?</w:t>
      </w:r>
    </w:p>
    <w:p>
      <w:r>
        <w:t>Planning normally requires five to ten business days, the assessment requires one business day, and final deliverables are typically provided within ten business days.</w:t>
      </w:r>
    </w:p>
    <w:p>
      <w:pPr>
        <w:pStyle w:val="Heading2"/>
      </w:pPr>
      <w:r>
        <w:t>How often should it be repeated?</w:t>
      </w:r>
    </w:p>
    <w:p>
      <w:r>
        <w:t>Annually, after a major organizational change, or after substantial changes to authority, identity, critical suppliers, continuity arrangements, or board oversight.</w:t>
      </w:r>
    </w:p>
    <w:p>
      <w:pPr>
        <w:pStyle w:val="Heading1"/>
      </w:pPr>
      <w:r>
        <w:t>15. Next Steps</w:t>
      </w:r>
    </w:p>
    <w:p>
      <w:r>
        <w:t>A discovery discussion determines whether the assessment fits the organization's objectives and identifies the most appropriate participants, critical services, stakeholder pressures, and governance context.</w:t>
      </w:r>
    </w:p>
    <w:tbl>
      <w:tblPr>
        <w:tblStyle w:val="TableGrid"/>
        <w:tblW w:type="auto" w:w="0"/>
        <w:jc w:val="center"/>
        <w:tblLook w:firstColumn="1" w:firstRow="1" w:lastColumn="0" w:lastRow="0" w:noHBand="0" w:noVBand="1" w:val="04A0"/>
      </w:tblPr>
      <w:tblGrid>
        <w:gridCol w:w="3331"/>
        <w:gridCol w:w="3331"/>
        <w:gridCol w:w="3331"/>
      </w:tblGrid>
      <w:tr>
        <w:tc>
          <w:tcPr>
            <w:tcW w:type="dxa" w:w="3331"/>
            <w:shd w:fill="1F4E79"/>
          </w:tcPr>
          <w:p>
            <w:r>
              <w:rPr>
                <w:b/>
                <w:color w:val="FFFFFF"/>
              </w:rPr>
              <w:t>Step</w:t>
            </w:r>
          </w:p>
        </w:tc>
        <w:tc>
          <w:tcPr>
            <w:tcW w:type="dxa" w:w="3331"/>
            <w:shd w:fill="1F4E79"/>
          </w:tcPr>
          <w:p>
            <w:r>
              <w:rPr>
                <w:b/>
                <w:color w:val="FFFFFF"/>
              </w:rPr>
              <w:t>Activity</w:t>
            </w:r>
          </w:p>
        </w:tc>
        <w:tc>
          <w:tcPr>
            <w:tcW w:type="dxa" w:w="3331"/>
            <w:shd w:fill="1F4E79"/>
          </w:tcPr>
          <w:p>
            <w:r>
              <w:rPr>
                <w:b/>
                <w:color w:val="FFFFFF"/>
              </w:rPr>
              <w:t>Outcome</w:t>
            </w:r>
          </w:p>
        </w:tc>
      </w:tr>
      <w:tr>
        <w:tc>
          <w:tcPr>
            <w:tcW w:type="dxa" w:w="3331"/>
          </w:tcPr>
          <w:p>
            <w:r>
              <w:t>1</w:t>
            </w:r>
          </w:p>
        </w:tc>
        <w:tc>
          <w:tcPr>
            <w:tcW w:type="dxa" w:w="3331"/>
          </w:tcPr>
          <w:p>
            <w:r>
              <w:t>Discovery discussion</w:t>
            </w:r>
          </w:p>
        </w:tc>
        <w:tc>
          <w:tcPr>
            <w:tcW w:type="dxa" w:w="3331"/>
          </w:tcPr>
          <w:p>
            <w:r>
              <w:t>Confirm objectives, participants, business context, and desired board outcomes.</w:t>
            </w:r>
          </w:p>
        </w:tc>
      </w:tr>
      <w:tr>
        <w:tc>
          <w:tcPr>
            <w:tcW w:type="dxa" w:w="3331"/>
          </w:tcPr>
          <w:p>
            <w:r>
              <w:t>2</w:t>
            </w:r>
          </w:p>
        </w:tc>
        <w:tc>
          <w:tcPr>
            <w:tcW w:type="dxa" w:w="3331"/>
          </w:tcPr>
          <w:p>
            <w:r>
              <w:t>Assessment proposal</w:t>
            </w:r>
          </w:p>
        </w:tc>
        <w:tc>
          <w:tcPr>
            <w:tcW w:type="dxa" w:w="3331"/>
          </w:tcPr>
          <w:p>
            <w:r>
              <w:t>Define scope, schedule, deliverables, responsibilities, pricing, and confidentiality.</w:t>
            </w:r>
          </w:p>
        </w:tc>
      </w:tr>
      <w:tr>
        <w:tc>
          <w:tcPr>
            <w:tcW w:type="dxa" w:w="3331"/>
          </w:tcPr>
          <w:p>
            <w:r>
              <w:t>3</w:t>
            </w:r>
          </w:p>
        </w:tc>
        <w:tc>
          <w:tcPr>
            <w:tcW w:type="dxa" w:w="3331"/>
          </w:tcPr>
          <w:p>
            <w:r>
              <w:t>Preparation</w:t>
            </w:r>
          </w:p>
        </w:tc>
        <w:tc>
          <w:tcPr>
            <w:tcW w:type="dxa" w:w="3331"/>
          </w:tcPr>
          <w:p>
            <w:r>
              <w:t>Review selected documents and tailor the scenario to the client's organization.</w:t>
            </w:r>
          </w:p>
        </w:tc>
      </w:tr>
      <w:tr>
        <w:tc>
          <w:tcPr>
            <w:tcW w:type="dxa" w:w="3331"/>
          </w:tcPr>
          <w:p>
            <w:r>
              <w:t>4</w:t>
            </w:r>
          </w:p>
        </w:tc>
        <w:tc>
          <w:tcPr>
            <w:tcW w:type="dxa" w:w="3331"/>
          </w:tcPr>
          <w:p>
            <w:r>
              <w:t>Executive assessment</w:t>
            </w:r>
          </w:p>
        </w:tc>
        <w:tc>
          <w:tcPr>
            <w:tcW w:type="dxa" w:w="3331"/>
          </w:tcPr>
          <w:p>
            <w:r>
              <w:t>Conduct the one-day engagement and preserve the decision record.</w:t>
            </w:r>
          </w:p>
        </w:tc>
      </w:tr>
      <w:tr>
        <w:tc>
          <w:tcPr>
            <w:tcW w:type="dxa" w:w="3331"/>
          </w:tcPr>
          <w:p>
            <w:r>
              <w:t>5</w:t>
            </w:r>
          </w:p>
        </w:tc>
        <w:tc>
          <w:tcPr>
            <w:tcW w:type="dxa" w:w="3331"/>
          </w:tcPr>
          <w:p>
            <w:r>
              <w:t>Report and briefing</w:t>
            </w:r>
          </w:p>
        </w:tc>
        <w:tc>
          <w:tcPr>
            <w:tcW w:type="dxa" w:w="3331"/>
          </w:tcPr>
          <w:p>
            <w:r>
              <w:t>Deliver the evidence-supported assessment, roadmap, and executive presentation.</w:t>
            </w:r>
          </w:p>
        </w:tc>
      </w:tr>
    </w:tbl>
    <w:tbl>
      <w:tblPr>
        <w:tblW w:type="auto" w:w="0"/>
        <w:jc w:val="center"/>
        <w:tblLook w:firstColumn="1" w:firstRow="1" w:lastColumn="0" w:lastRow="0" w:noHBand="0" w:noVBand="1" w:val="04A0"/>
      </w:tblPr>
      <w:tblGrid>
        <w:gridCol w:w="9994"/>
      </w:tblGrid>
      <w:tr>
        <w:tc>
          <w:tcPr>
            <w:tcW w:type="dxa" w:w="9994"/>
            <w:shd w:fill="D9EAF7"/>
            <w:tcMar>
              <w:top w:w="140" w:type="dxa"/>
              <w:start w:w="160" w:type="dxa"/>
              <w:bottom w:w="140" w:type="dxa"/>
              <w:end w:w="160" w:type="dxa"/>
            </w:tcMar>
          </w:tcPr>
          <w:p>
            <w:pPr>
              <w:pStyle w:val="ExecutiveCallout"/>
              <w:jc w:val="center"/>
            </w:pPr>
            <w:r>
              <w:t>Do not wait for Q-Day to discover how your organization makes consequential decisions.</w:t>
            </w:r>
          </w:p>
        </w:tc>
      </w:tr>
    </w:tbl>
    <w:p>
      <w:pPr>
        <w:pStyle w:val="ExecutiveCallout"/>
        <w:jc w:val="center"/>
      </w:pPr>
      <w:r>
        <w:t>VaultMind Technologies</w:t>
        <w:br/>
        <w:t>Control the Moment™</w:t>
      </w:r>
    </w:p>
    <w:p>
      <w:r>
        <w:br w:type="page"/>
      </w:r>
    </w:p>
    <w:p>
      <w:pPr>
        <w:pStyle w:val="Heading1"/>
      </w:pPr>
      <w:r>
        <w:t>Appendix A. Engagement at a Glance</w:t>
      </w:r>
    </w:p>
    <w:tbl>
      <w:tblPr>
        <w:tblStyle w:val="LightShading-Accent1"/>
        <w:tblW w:type="auto" w:w="0"/>
        <w:jc w:val="center"/>
        <w:tblLook w:firstColumn="1" w:firstRow="1" w:lastColumn="0" w:lastRow="0" w:noHBand="0" w:noVBand="1" w:val="04A0"/>
      </w:tblPr>
      <w:tblGrid>
        <w:gridCol w:w="4997"/>
        <w:gridCol w:w="4997"/>
      </w:tblGrid>
      <w:tr>
        <w:tc>
          <w:tcPr>
            <w:tcW w:type="dxa" w:w="4997"/>
          </w:tcPr>
          <w:p>
            <w:r>
              <w:rPr>
                <w:b/>
              </w:rPr>
              <w:t>Product</w:t>
            </w:r>
          </w:p>
        </w:tc>
        <w:tc>
          <w:tcPr>
            <w:tcW w:type="dxa" w:w="4997"/>
          </w:tcPr>
          <w:p>
            <w:r>
              <w:t>VaultMind Quantum Readiness Assessment</w:t>
            </w:r>
          </w:p>
        </w:tc>
      </w:tr>
      <w:tr>
        <w:tc>
          <w:tcPr>
            <w:tcW w:type="dxa" w:w="4997"/>
          </w:tcPr>
          <w:p>
            <w:r>
              <w:rPr>
                <w:b/>
              </w:rPr>
              <w:t>Purpose</w:t>
            </w:r>
          </w:p>
        </w:tc>
        <w:tc>
          <w:tcPr>
            <w:tcW w:type="dxa" w:w="4997"/>
          </w:tcPr>
          <w:p>
            <w:r>
              <w:t>Evaluate executive decision readiness during a credible disruption to digital trust.</w:t>
            </w:r>
          </w:p>
        </w:tc>
      </w:tr>
      <w:tr>
        <w:tc>
          <w:tcPr>
            <w:tcW w:type="dxa" w:w="4997"/>
          </w:tcPr>
          <w:p>
            <w:r>
              <w:rPr>
                <w:b/>
              </w:rPr>
              <w:t>Delivery</w:t>
            </w:r>
          </w:p>
        </w:tc>
        <w:tc>
          <w:tcPr>
            <w:tcW w:type="dxa" w:w="4997"/>
          </w:tcPr>
          <w:p>
            <w:r>
              <w:t>One VaultMind facilitator; one client executive team; one business day.</w:t>
            </w:r>
          </w:p>
        </w:tc>
      </w:tr>
      <w:tr>
        <w:tc>
          <w:tcPr>
            <w:tcW w:type="dxa" w:w="4997"/>
          </w:tcPr>
          <w:p>
            <w:r>
              <w:rPr>
                <w:b/>
              </w:rPr>
              <w:t>Participants</w:t>
            </w:r>
          </w:p>
        </w:tc>
        <w:tc>
          <w:tcPr>
            <w:tcW w:type="dxa" w:w="4997"/>
          </w:tcPr>
          <w:p>
            <w:r>
              <w:t>Approximately six to twelve executives and selected board participation.</w:t>
            </w:r>
          </w:p>
        </w:tc>
      </w:tr>
      <w:tr>
        <w:tc>
          <w:tcPr>
            <w:tcW w:type="dxa" w:w="4997"/>
          </w:tcPr>
          <w:p>
            <w:r>
              <w:rPr>
                <w:b/>
              </w:rPr>
              <w:t>Preparation</w:t>
            </w:r>
          </w:p>
        </w:tc>
        <w:tc>
          <w:tcPr>
            <w:tcW w:type="dxa" w:w="4997"/>
          </w:tcPr>
          <w:p>
            <w:r>
              <w:t>Five to ten business days.</w:t>
            </w:r>
          </w:p>
        </w:tc>
      </w:tr>
      <w:tr>
        <w:tc>
          <w:tcPr>
            <w:tcW w:type="dxa" w:w="4997"/>
          </w:tcPr>
          <w:p>
            <w:r>
              <w:rPr>
                <w:b/>
              </w:rPr>
              <w:t>Reporting</w:t>
            </w:r>
          </w:p>
        </w:tc>
        <w:tc>
          <w:tcPr>
            <w:tcW w:type="dxa" w:w="4997"/>
          </w:tcPr>
          <w:p>
            <w:r>
              <w:t>Typically within ten business days.</w:t>
            </w:r>
          </w:p>
        </w:tc>
      </w:tr>
      <w:tr>
        <w:tc>
          <w:tcPr>
            <w:tcW w:type="dxa" w:w="4997"/>
          </w:tcPr>
          <w:p>
            <w:r>
              <w:rPr>
                <w:b/>
              </w:rPr>
              <w:t>Primary outputs</w:t>
            </w:r>
          </w:p>
        </w:tc>
        <w:tc>
          <w:tcPr>
            <w:tcW w:type="dxa" w:w="4997"/>
          </w:tcPr>
          <w:p>
            <w:r>
              <w:t>Executive assessment report, decision record, chronicle, board book, corrective roadmap, and presentation.</w:t>
            </w:r>
          </w:p>
        </w:tc>
      </w:tr>
      <w:tr>
        <w:tc>
          <w:tcPr>
            <w:tcW w:type="dxa" w:w="4997"/>
          </w:tcPr>
          <w:p>
            <w:r>
              <w:rPr>
                <w:b/>
              </w:rPr>
              <w:t>Default reporting focus</w:t>
            </w:r>
          </w:p>
        </w:tc>
        <w:tc>
          <w:tcPr>
            <w:tcW w:type="dxa" w:w="4997"/>
          </w:tcPr>
          <w:p>
            <w:r>
              <w:t>Organizational capability, not individual performance.</w:t>
            </w:r>
          </w:p>
        </w:tc>
      </w:tr>
    </w:tbl>
    <w:p>
      <w:pPr>
        <w:pStyle w:val="Heading1"/>
      </w:pPr>
      <w:r>
        <w:t>Appendix B. Assessment Principles</w:t>
      </w:r>
    </w:p>
    <w:p>
      <w:r>
        <w:rPr>
          <w:b/>
          <w:color w:val="1F4E79"/>
        </w:rPr>
        <w:t xml:space="preserve">1. </w:t>
      </w:r>
      <w:r>
        <w:t>Consequential decisions require consequential evidence.</w:t>
      </w:r>
    </w:p>
    <w:p>
      <w:r>
        <w:rPr>
          <w:b/>
          <w:color w:val="1F4E79"/>
        </w:rPr>
        <w:t xml:space="preserve">2. </w:t>
      </w:r>
      <w:r>
        <w:t>Authority must be explicit.</w:t>
      </w:r>
    </w:p>
    <w:p>
      <w:r>
        <w:rPr>
          <w:b/>
          <w:color w:val="1F4E79"/>
        </w:rPr>
        <w:t xml:space="preserve">3. </w:t>
      </w:r>
      <w:r>
        <w:t>Facts, assumptions, unknowns, and contradictions are not interchangeable.</w:t>
      </w:r>
    </w:p>
    <w:p>
      <w:r>
        <w:rPr>
          <w:b/>
          <w:color w:val="1F4E79"/>
        </w:rPr>
        <w:t xml:space="preserve">4. </w:t>
      </w:r>
      <w:r>
        <w:t>Identity confidence should be proportional to the consequence of the action.</w:t>
      </w:r>
    </w:p>
    <w:p>
      <w:r>
        <w:rPr>
          <w:b/>
          <w:color w:val="1F4E79"/>
        </w:rPr>
        <w:t xml:space="preserve">5. </w:t>
      </w:r>
      <w:r>
        <w:t>Communications should not exceed available evidence.</w:t>
      </w:r>
    </w:p>
    <w:p>
      <w:r>
        <w:rPr>
          <w:b/>
          <w:color w:val="1F4E79"/>
        </w:rPr>
        <w:t xml:space="preserve">6. </w:t>
      </w:r>
      <w:r>
        <w:t>A delayed or avoided decision is still part of the decision record.</w:t>
      </w:r>
    </w:p>
    <w:p>
      <w:r>
        <w:rPr>
          <w:b/>
          <w:color w:val="1F4E79"/>
        </w:rPr>
        <w:t xml:space="preserve">7. </w:t>
      </w:r>
      <w:r>
        <w:t>Reasonable decisions are evaluated using information available at the time, not hindsight.</w:t>
      </w:r>
    </w:p>
    <w:p>
      <w:r>
        <w:rPr>
          <w:b/>
          <w:color w:val="1F4E79"/>
        </w:rPr>
        <w:t xml:space="preserve">8. </w:t>
      </w:r>
      <w:r>
        <w:t>Every material finding must be supported by observable evidence.</w:t>
      </w:r>
    </w:p>
    <w:p>
      <w:r>
        <w:rPr>
          <w:b/>
          <w:color w:val="1F4E79"/>
        </w:rPr>
        <w:t xml:space="preserve">9. </w:t>
      </w:r>
      <w:r>
        <w:t>Every recommendation must trace to a demonstrated capability gap.</w:t>
      </w:r>
    </w:p>
    <w:p>
      <w:r>
        <w:rPr>
          <w:b/>
          <w:color w:val="1F4E79"/>
        </w:rPr>
        <w:t xml:space="preserve">10. </w:t>
      </w:r>
      <w:r>
        <w:t>Institutional memory is a strategic capability.</w:t>
      </w:r>
    </w:p>
    <w:p>
      <w:pPr>
        <w:pStyle w:val="Heading1"/>
      </w:pPr>
      <w:r>
        <w:t>Appendix C. Contact</w:t>
      </w:r>
    </w:p>
    <w:p>
      <w:r>
        <w:t>VaultMind Technologies</w:t>
      </w:r>
    </w:p>
    <w:p>
      <w:r>
        <w:t>Executive Decision Readiness and Governance</w:t>
      </w:r>
    </w:p>
    <w:p>
      <w:r>
        <w:t>Control the Moment™</w:t>
      </w:r>
    </w:p>
    <w:p>
      <w:r>
        <w:t>vaultmindtechnologies.com</w:t>
      </w:r>
    </w:p>
    <w:p>
      <w:pPr>
        <w:pStyle w:val="Heading2"/>
      </w:pPr>
      <w:r>
        <w:t>Contact</w:t>
      </w:r>
    </w:p>
    <w:p>
      <w:r>
        <w:t>VaultMind Technologies</w:t>
        <w:br/>
        <w:t>Website: vaultmindtechnologies.com</w:t>
        <w:br/>
        <w:t>Email: mark@vaultmindtechnologies.com</w:t>
        <w:br/>
        <w:br/>
        <w:t>Schedule a confidential executive discovery discussion to determine whether the Quantum Readiness Assessment is appropriate for your organization.</w:t>
      </w:r>
    </w:p>
    <w:sectPr w:rsidR="00FC693F" w:rsidRPr="0006063C" w:rsidSect="00034616">
      <w:headerReference w:type="default" r:id="rId9"/>
      <w:footerReference w:type="default" r:id="rId10"/>
      <w:pgSz w:w="12240" w:h="15840"/>
      <w:pgMar w:top="936" w:right="1123" w:bottom="936"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right"/>
    </w:pPr>
    <w:r>
      <w:t xml:space="preserve">Control the Moment™  |  Executive Brief  |  </w:t>
    </w:r>
    <w:r>
      <w:rPr>
        <w:color w:val="586270"/>
        <w:sz w:val="16"/>
      </w:rPr>
      <w:fldChar w:fldCharType="begin"/>
      <w:instrText xml:space="preserve"> PAGE </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SmallCaption"/>
      <w:jc w:val="left"/>
    </w:pPr>
    <w:r>
      <w:t>VAULTMIND TECHNOLOGIES  |  QUANTUM READINESS ASSESSMENT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69"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360" w:after="160"/>
      <w:outlineLvl w:val="0"/>
    </w:pPr>
    <w:rPr>
      <w:rFonts w:asciiTheme="majorHAnsi" w:eastAsiaTheme="majorEastAsia" w:hAnsiTheme="majorHAnsi" w:cstheme="majorBidi" w:ascii="Aptos Display" w:hAnsi="Aptos Display"/>
      <w:b/>
      <w:bCs/>
      <w:color w:val="1F4E79"/>
      <w:sz w:val="42"/>
      <w:szCs w:val="28"/>
    </w:rPr>
  </w:style>
  <w:style w:type="paragraph" w:styleId="Heading2">
    <w:name w:val="heading 2"/>
    <w:basedOn w:val="Normal"/>
    <w:next w:val="Normal"/>
    <w:link w:val="Heading2Char"/>
    <w:uiPriority w:val="9"/>
    <w:unhideWhenUsed/>
    <w:qFormat/>
    <w:rsid w:val="00FC693F"/>
    <w:pPr>
      <w:keepNext/>
      <w:keepLines/>
      <w:spacing w:before="240" w:after="100"/>
      <w:outlineLvl w:val="1"/>
    </w:pPr>
    <w:rPr>
      <w:rFonts w:asciiTheme="majorHAnsi" w:eastAsiaTheme="majorEastAsia" w:hAnsiTheme="majorHAnsi" w:cstheme="majorBidi" w:ascii="Aptos Display" w:hAnsi="Aptos Display"/>
      <w:b/>
      <w:bCs/>
      <w:color w:val="1C232D"/>
      <w:sz w:val="28"/>
      <w:szCs w:val="26"/>
    </w:rPr>
  </w:style>
  <w:style w:type="paragraph" w:styleId="Heading3">
    <w:name w:val="heading 3"/>
    <w:basedOn w:val="Normal"/>
    <w:next w:val="Normal"/>
    <w:link w:val="Heading3Char"/>
    <w:uiPriority w:val="9"/>
    <w:unhideWhenUsed/>
    <w:qFormat/>
    <w:rsid w:val="00FC693F"/>
    <w:pPr>
      <w:keepNext/>
      <w:keepLines/>
      <w:spacing w:before="160" w:after="60"/>
      <w:outlineLvl w:val="2"/>
    </w:pPr>
    <w:rPr>
      <w:rFonts w:asciiTheme="majorHAnsi" w:eastAsiaTheme="majorEastAsia" w:hAnsiTheme="majorHAnsi" w:cstheme="majorBidi" w:ascii="Aptos Display" w:hAnsi="Aptos Display"/>
      <w:b/>
      <w:bCs/>
      <w:color w:val="1F4E79"/>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keepNext/>
      <w:pBdr>
        <w:bottom w:val="single" w:sz="8" w:space="4" w:color="4F81BD" w:themeColor="accent1"/>
      </w:pBdr>
      <w:spacing w:after="240" w:line="240" w:lineRule="auto" w:before="0"/>
      <w:contextualSpacing/>
    </w:pPr>
    <w:rPr>
      <w:rFonts w:asciiTheme="majorHAnsi" w:eastAsiaTheme="majorEastAsia" w:hAnsiTheme="majorHAnsi" w:cstheme="majorBidi" w:ascii="Aptos Display" w:hAnsi="Aptos Display"/>
      <w:b/>
      <w:color w:val="1C232D"/>
      <w:spacing w:val="5"/>
      <w:kern w:val="28"/>
      <w:sz w:val="6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ExecutiveCallout">
    <w:name w:val="Executive Callout"/>
    <w:pPr>
      <w:keepLines/>
      <w:spacing w:before="160" w:after="160"/>
      <w:ind w:left="360" w:right="360"/>
    </w:pPr>
    <w:rPr>
      <w:rFonts w:ascii="Aptos Display" w:hAnsi="Aptos Display"/>
      <w:b/>
      <w:color w:val="1F4E79"/>
      <w:sz w:val="30"/>
    </w:rPr>
  </w:style>
  <w:style w:type="paragraph" w:customStyle="1" w:styleId="SmallCaption">
    <w:name w:val="Small Caption"/>
    <w:pPr>
      <w:spacing w:after="60"/>
    </w:pPr>
    <w:rPr>
      <w:rFonts w:ascii="Aptos" w:hAnsi="Aptos"/>
      <w:color w:val="586270"/>
      <w:sz w:val="17"/>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VaultMind Quantum Readiness Assessment - Executive Brief</dc:title>
  <dc:subject>Executive decision readiness for Q-Day</dc:subject>
  <dc:creator>VaultMind Technologies</dc:creator>
  <cp:keywords>quantum readiness, Q-Day, executive decision readiness, governance, evidence, replay, defensibility</cp:keywords>
  <dc:description>generated by python-docx</dc:description>
  <cp:lastModifiedBy/>
  <cp:revision>1</cp:revision>
  <dcterms:created xsi:type="dcterms:W3CDTF">2013-12-23T23:15:00Z</dcterms:created>
  <dcterms:modified xsi:type="dcterms:W3CDTF">2013-12-23T23:15:00Z</dcterms:modified>
  <cp:category/>
</cp:coreProperties>
</file>